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bidi/>
        <w:spacing w:after="120" w:before="0" w:line="312" w:lineRule="auto"/>
        <w:jc w:val="center"/>
      </w:pPr>
      <w:r>
        <w:rPr>
          <w:rFonts w:ascii="Arial" w:hAnsi="Arial" w:cs="Arial"/>
          <w:b/>
          <w:color w:val="1F3864"/>
          <w:sz w:val="56"/>
          <w:rtl w:val="1"/>
        </w:rPr>
        <w:t>تقرير تحليل الطلبات والأداء التجاري</w:t>
      </w:r>
    </w:p>
    <w:p>
      <w:pPr>
        <w:bidi/>
        <w:spacing w:after="360" w:before="0" w:line="312" w:lineRule="auto"/>
        <w:jc w:val="center"/>
      </w:pPr>
      <w:r>
        <w:rPr>
          <w:rFonts w:ascii="Arial" w:hAnsi="Arial" w:cs="Arial"/>
          <w:b/>
          <w:color w:val="595959"/>
          <w:sz w:val="36"/>
          <w:rtl w:val="1"/>
        </w:rPr>
        <w:t>متجر شاكر</w:t>
      </w:r>
    </w:p>
    <w:p>
      <w:pPr>
        <w:bidi/>
        <w:spacing w:after="800" w:before="0" w:line="312" w:lineRule="auto"/>
        <w:jc w:val="center"/>
      </w:pPr>
      <w:r>
        <w:rPr>
          <w:rFonts w:ascii="Arial" w:hAnsi="Arial" w:cs="Arial"/>
          <w:b w:val="0"/>
          <w:color w:val="595959"/>
          <w:sz w:val="28"/>
          <w:rtl w:val="1"/>
        </w:rPr>
        <w:t>تقرير شامل للنتائج والفرص والتوصيات</w:t>
      </w:r>
    </w:p>
    <w:p>
      <w:pPr>
        <w:bidi/>
        <w:spacing w:after="600" w:before="0" w:line="312" w:lineRule="auto"/>
        <w:jc w:val="center"/>
      </w:pPr>
      <w:r>
        <w:rPr>
          <w:rFonts w:ascii="Arial" w:hAnsi="Arial" w:cs="Arial"/>
          <w:b w:val="0"/>
          <w:color w:val="1F3864"/>
          <w:sz w:val="24"/>
          <w:rtl w:val="1"/>
        </w:rPr>
        <w:t>——————————————————————</w:t>
      </w:r>
    </w:p>
    <w:p>
      <w:pPr>
        <w:bidi/>
        <w:spacing w:after="120" w:before="0" w:line="312" w:lineRule="auto"/>
        <w:jc w:val="center"/>
      </w:pPr>
      <w:r>
        <w:rPr>
          <w:rFonts w:ascii="Arial" w:hAnsi="Arial" w:cs="Arial"/>
          <w:b/>
          <w:sz w:val="24"/>
          <w:rtl w:val="1"/>
        </w:rPr>
        <w:t>مصدر البيانات:  orders-analysis-dashboard.xlsx</w:t>
      </w:r>
    </w:p>
    <w:p>
      <w:pPr>
        <w:bidi/>
        <w:spacing w:after="120" w:before="0" w:line="312" w:lineRule="auto"/>
        <w:jc w:val="center"/>
      </w:pPr>
      <w:r>
        <w:rPr>
          <w:rFonts w:ascii="Arial" w:hAnsi="Arial" w:cs="Arial"/>
          <w:b w:val="0"/>
          <w:sz w:val="24"/>
          <w:rtl w:val="1"/>
        </w:rPr>
        <w:t>الفترة المشمولة:  2021-04-12  إلى  2026-07-14</w:t>
      </w:r>
    </w:p>
    <w:p>
      <w:pPr>
        <w:bidi/>
        <w:spacing w:after="120" w:before="0" w:line="312" w:lineRule="auto"/>
        <w:jc w:val="center"/>
      </w:pPr>
      <w:r>
        <w:rPr>
          <w:rFonts w:ascii="Arial" w:hAnsi="Arial" w:cs="Arial"/>
          <w:b w:val="0"/>
          <w:sz w:val="24"/>
          <w:rtl w:val="1"/>
        </w:rPr>
        <w:t>تاريخ إعداد التقرير:  2026-07-15</w:t>
      </w:r>
    </w:p>
    <w:p>
      <w:pPr>
        <w:bidi/>
        <w:spacing w:after="120" w:before="0" w:line="312" w:lineRule="auto"/>
        <w:jc w:val="center"/>
      </w:pPr>
      <w:r>
        <w:rPr>
          <w:rFonts w:ascii="Arial" w:hAnsi="Arial" w:cs="Arial"/>
          <w:b w:val="0"/>
          <w:sz w:val="24"/>
          <w:rtl w:val="1"/>
        </w:rPr>
        <w:t>العملة:  الريال السعودي (SAR)</w:t>
      </w:r>
    </w:p>
    <w:p>
      <w:pPr>
        <w:bidi/>
        <w:spacing w:after="120" w:before="0" w:line="312" w:lineRule="auto"/>
        <w:jc w:val="center"/>
      </w:pPr>
      <w:r>
        <w:rPr>
          <w:rFonts w:ascii="Arial" w:hAnsi="Arial" w:cs="Arial"/>
          <w:b w:val="0"/>
          <w:sz w:val="24"/>
          <w:rtl w:val="1"/>
        </w:rPr>
        <w:t>حجم البيانات:  35,590 طلب  /  43,259 بند طلب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r>
        <w:rPr>
          <w:rFonts w:ascii="Arial" w:hAnsi="Arial" w:cs="Arial"/>
          <w:b/>
          <w:color w:val="1F3864"/>
          <w:sz w:val="32"/>
          <w:rtl w:val="1"/>
        </w:rPr>
        <w:t>فهرس المحتويات</w:t>
      </w:r>
    </w:p>
    <w:p>
      <w:pPr>
        <w:bidi/>
        <w:spacing w:after="16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الفهرس تفاعلي: انقر على أي عنوان للانتقال إليه مباشرة داخل المستند. أرقام الصفحات معروضة في تذييل كل صفحة.</w:t>
      </w:r>
    </w:p>
    <w:p>
      <w:pPr>
        <w:bidi/>
        <w:spacing w:after="80" w:line="288" w:lineRule="auto"/>
        <w:jc w:val="right"/>
      </w:pPr>
      <w:hyperlink w:anchor="sec1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1. الملخص التنفيذي</w:t>
        </w:r>
      </w:hyperlink>
    </w:p>
    <w:p>
      <w:pPr>
        <w:bidi/>
        <w:spacing w:after="80" w:line="288" w:lineRule="auto"/>
        <w:jc w:val="right"/>
      </w:pPr>
      <w:hyperlink w:anchor="sec2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2. نظرة عامة على الأداء</w:t>
        </w:r>
      </w:hyperlink>
    </w:p>
    <w:p>
      <w:pPr>
        <w:bidi/>
        <w:spacing w:after="80" w:line="288" w:lineRule="auto"/>
        <w:jc w:val="right"/>
      </w:pPr>
      <w:hyperlink w:anchor="sec3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3. تحليل أداء الطلبات</w:t>
        </w:r>
      </w:hyperlink>
    </w:p>
    <w:p>
      <w:pPr>
        <w:bidi/>
        <w:spacing w:after="80" w:line="288" w:lineRule="auto"/>
        <w:jc w:val="right"/>
      </w:pPr>
      <w:hyperlink w:anchor="sec4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4. تحليل الأداء الزمني والموسمية</w:t>
        </w:r>
      </w:hyperlink>
    </w:p>
    <w:p>
      <w:pPr>
        <w:bidi/>
        <w:spacing w:after="80" w:line="288" w:lineRule="auto"/>
        <w:jc w:val="right"/>
      </w:pPr>
      <w:hyperlink w:anchor="sec5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5. تحليل العملاء</w:t>
        </w:r>
      </w:hyperlink>
    </w:p>
    <w:p>
      <w:pPr>
        <w:bidi/>
        <w:spacing w:after="80" w:line="288" w:lineRule="auto"/>
        <w:jc w:val="right"/>
      </w:pPr>
      <w:hyperlink w:anchor="sec6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6. تحليل RFM لشرائح العملاء</w:t>
        </w:r>
      </w:hyperlink>
    </w:p>
    <w:p>
      <w:pPr>
        <w:bidi/>
        <w:spacing w:after="80" w:line="288" w:lineRule="auto"/>
        <w:jc w:val="right"/>
      </w:pPr>
      <w:hyperlink w:anchor="sec7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7. تحليل المنتجات</w:t>
        </w:r>
      </w:hyperlink>
    </w:p>
    <w:p>
      <w:pPr>
        <w:bidi/>
        <w:spacing w:after="80" w:line="288" w:lineRule="auto"/>
        <w:jc w:val="right"/>
      </w:pPr>
      <w:hyperlink w:anchor="sec8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8. تحليل العلامات التجارية</w:t>
        </w:r>
      </w:hyperlink>
    </w:p>
    <w:p>
      <w:pPr>
        <w:bidi/>
        <w:spacing w:after="80" w:line="288" w:lineRule="auto"/>
        <w:jc w:val="right"/>
      </w:pPr>
      <w:hyperlink w:anchor="sec9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9. تحليل خدمات التركيب والخدمات الإضافية</w:t>
        </w:r>
      </w:hyperlink>
    </w:p>
    <w:p>
      <w:pPr>
        <w:bidi/>
        <w:spacing w:after="80" w:line="288" w:lineRule="auto"/>
        <w:jc w:val="right"/>
      </w:pPr>
      <w:hyperlink w:anchor="sec10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10. تحليل الكوبونات والخصومات</w:t>
        </w:r>
      </w:hyperlink>
    </w:p>
    <w:p>
      <w:pPr>
        <w:bidi/>
        <w:spacing w:after="80" w:line="288" w:lineRule="auto"/>
        <w:jc w:val="right"/>
      </w:pPr>
      <w:hyperlink w:anchor="sec11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11. تحليل المدن والمناطق</w:t>
        </w:r>
      </w:hyperlink>
    </w:p>
    <w:p>
      <w:pPr>
        <w:bidi/>
        <w:spacing w:after="80" w:line="288" w:lineRule="auto"/>
        <w:jc w:val="right"/>
      </w:pPr>
      <w:hyperlink w:anchor="sec12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12. تحليل طرق الدفع</w:t>
        </w:r>
      </w:hyperlink>
    </w:p>
    <w:p>
      <w:pPr>
        <w:bidi/>
        <w:spacing w:after="80" w:line="288" w:lineRule="auto"/>
        <w:jc w:val="right"/>
      </w:pPr>
      <w:hyperlink w:anchor="sec13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13. تحليل الإلغاءات والمرتجعات</w:t>
        </w:r>
      </w:hyperlink>
    </w:p>
    <w:p>
      <w:pPr>
        <w:bidi/>
        <w:spacing w:after="80" w:line="288" w:lineRule="auto"/>
        <w:jc w:val="right"/>
      </w:pPr>
      <w:hyperlink w:anchor="sec14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14. تحليل المدفوعات المعلقة وفشل الدفع</w:t>
        </w:r>
      </w:hyperlink>
    </w:p>
    <w:p>
      <w:pPr>
        <w:bidi/>
        <w:spacing w:after="80" w:line="288" w:lineRule="auto"/>
        <w:jc w:val="right"/>
      </w:pPr>
      <w:hyperlink w:anchor="sec15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15. استراتيجية الحملات التسويقية المبنية على البيانات</w:t>
        </w:r>
      </w:hyperlink>
    </w:p>
    <w:p>
      <w:pPr>
        <w:bidi/>
        <w:spacing w:after="80" w:line="288" w:lineRule="auto"/>
        <w:jc w:val="right"/>
      </w:pPr>
      <w:hyperlink w:anchor="sec16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16. جدول ملخص الحملات</w:t>
        </w:r>
      </w:hyperlink>
    </w:p>
    <w:p>
      <w:pPr>
        <w:bidi/>
        <w:spacing w:after="80" w:line="288" w:lineRule="auto"/>
        <w:jc w:val="right"/>
      </w:pPr>
      <w:hyperlink w:anchor="sec17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17. توصيات تحسين معدل التحويل</w:t>
        </w:r>
      </w:hyperlink>
    </w:p>
    <w:p>
      <w:pPr>
        <w:bidi/>
        <w:spacing w:after="80" w:line="288" w:lineRule="auto"/>
        <w:jc w:val="right"/>
      </w:pPr>
      <w:hyperlink w:anchor="sec18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18. توصيات الاحتفاظ بالعملاء</w:t>
        </w:r>
      </w:hyperlink>
    </w:p>
    <w:p>
      <w:pPr>
        <w:bidi/>
        <w:spacing w:after="80" w:line="288" w:lineRule="auto"/>
        <w:jc w:val="right"/>
      </w:pPr>
      <w:hyperlink w:anchor="sec19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19. فرص النمو السريعة</w:t>
        </w:r>
      </w:hyperlink>
    </w:p>
    <w:p>
      <w:pPr>
        <w:bidi/>
        <w:spacing w:after="80" w:line="288" w:lineRule="auto"/>
        <w:jc w:val="right"/>
      </w:pPr>
      <w:hyperlink w:anchor="sec20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20. المشكلات التي تحتاج إلى تحقيق إضافي</w:t>
        </w:r>
      </w:hyperlink>
    </w:p>
    <w:p>
      <w:pPr>
        <w:bidi/>
        <w:spacing w:after="80" w:line="288" w:lineRule="auto"/>
        <w:jc w:val="right"/>
      </w:pPr>
      <w:hyperlink w:anchor="sec21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21. جدول التوصيات حسب الأولوية</w:t>
        </w:r>
      </w:hyperlink>
    </w:p>
    <w:p>
      <w:pPr>
        <w:bidi/>
        <w:spacing w:after="80" w:line="288" w:lineRule="auto"/>
        <w:jc w:val="right"/>
      </w:pPr>
      <w:hyperlink w:anchor="sec22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22. مؤشرات الأداء المقترحة للمتابعة الدورية</w:t>
        </w:r>
      </w:hyperlink>
    </w:p>
    <w:p>
      <w:pPr>
        <w:bidi/>
        <w:spacing w:after="80" w:line="288" w:lineRule="auto"/>
        <w:jc w:val="right"/>
      </w:pPr>
      <w:hyperlink w:anchor="sec23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23. ملاحظات على جودة البيانات</w:t>
        </w:r>
      </w:hyperlink>
    </w:p>
    <w:p>
      <w:pPr>
        <w:bidi/>
        <w:spacing w:after="80" w:line="288" w:lineRule="auto"/>
        <w:jc w:val="right"/>
      </w:pPr>
      <w:hyperlink w:anchor="sec24">
        <w:r>
          <w:rPr>
            <w:rFonts w:ascii="Arial" w:hAnsi="Arial" w:cs="Arial"/>
            <w:color w:val="1F3864"/>
            <w:u w:val="single"/>
            <w:sz w:val="23"/>
            <w:rtl w:val="1"/>
          </w:rPr>
          <w:t xml:space="preserve">24. الخاتمة والتوصيات النهائية</w:t>
        </w:r>
      </w:hyperlink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0" w:name="sec1"/>
      <w:r>
        <w:rPr>
          <w:rFonts w:ascii="Arial" w:hAnsi="Arial" w:cs="Arial"/>
          <w:b/>
          <w:color w:val="1F3864"/>
          <w:sz w:val="32"/>
          <w:rtl w:val="1"/>
        </w:rPr>
        <w:t>1. الملخص التنفيذي</w:t>
      </w:r>
      <w:bookmarkEnd w:id="2000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يغطي هذا التقرير أداء متجر شاكر خلال الفترة الممتدة من 2021-04-12 إلى 2026-07-14، ويستند إلى 35,590 طلباً و43,259 بند طلب مستخرجة من نظام WooCommerce. الهدف تحويل الأرقام إلى استنتاجات وفرص وتوصيات قابلة للتنفيذ.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الحالة العامة للأداء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إجمالي الطلبات: 35,590 طلب، منها 18,454 طلب مكتمل (51.9% معدل اكتمال).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الإيرادات المحققة (الطلبات المكتملة): 40,501,676 SAR.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متوسط قيمة الطلب المكتمل: 2,195 SAR — قيمة سلة مرتفعة تعكس طبيعة منتجات الأجهزة.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إجمالي قيمة الطلبات غير المكتملة (ملغاة + بانتظار الدفع + فشل): 53,756,837 SAR — وهي أكبر فجوة إيراد في المتجر.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color w:val="375623"/>
          <w:sz w:val="23"/>
          <w:rtl w:val="1"/>
        </w:rPr>
        <w:t>أهم 5 نتائج إيجابية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قاعدة عملاء كبيرة: 16,289 عميلاً اشترى فعلياً، منهم 1,543 عميل متكرر (9.5%).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متوسط قيمة طلب مرتفع (2,195 SAR) يمنح هامشاً جيداً لتغطية تكاليف الاكتساب والخدمات.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قنوات التقسيط (تابي/تمارا) تمثل شريحة دفع رئيسية وتساهم في رفع قيمة السلة.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تركّز جغرافي واضح في مدن رئيسية (الرياض، جدة، الدمام) يسهّل الاستهداف والتشغيل.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توفر بيانات تفصيلية على مستوى البند تتيح تحليل المنتجات والعلامات والخدمات بدقة.</w:t>
      </w: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color w:val="A00000"/>
          <w:sz w:val="23"/>
          <w:rtl w:val="1"/>
        </w:rPr>
        <w:t>أهم 5 مشكلات أو مخاطر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معدل عدم الاكتمال مرتفع: 46.0% من الطلبات لم تُكمل (ملغاة + معلقة/فاشلة).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طلبات ملغاة بقيمة 30,319,866 SAR (9,359 طلب) — أكبر تسرب في القيمة.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مدفوعات معلقة/فاشلة بقيمة 23,436,971 SAR (7,012 طلب) وصل فيها العميل لمرحلة متقدمة ولم يدفع.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ارتفاع الإلغاء في مجموعة «البطاقات» تحديداً (انظر قسم طرق الدفع والإلغاءات).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اعتماد كبير على عدد محدود من العلامات التجارية يمثل مخاطرة توفّر وتركّز.</w:t>
      </w: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أهم 5 فرص للنمو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استرداد المدفوعات المعلقة: استعادة 20% فقط ≈ 4,687,394 SAR إيراد إضافي دون تكلفة اكتساب.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خفض الإلغاء: تقليص 10% من قيمة الملغاة ≈ 3,031,987 SAR.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تنشيط العملاء المعرضين للخطر (6,698 عميل عالي القيمة) عبر حملات استرجاع.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رفع تكرار الشراء لدى 14,746 مشترٍ لمرة واحدة.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زيادة إرفاق خدمة التركيب والخدمات المكمّلة لرفع متوسط الطلب.</w:t>
      </w: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التوصيات التي يجب البدء بها فوراً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تفعيل تذكير دفع آلي (SMS/واتساب) خلال 24 ساعة للطلبات المعلقة مع رابط دفع مباشر.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مراجعة فنية لبوابة البطاقات (نافذة انتهاء الطلب، خطوة التحقق، إعادة المحاولة).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إطلاق حملة استرجاع للعملاء المعرضين للخطر وحملة الطلب الثاني للمشترين لمرة واحدة.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الأقسام التي تحتاج تدخلاً عاجلاً: المدفوعات المعلقة وفشل الدفع، الإلغاءات، وطرق الدفع (البطاقات).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1" w:name="sec2"/>
      <w:r>
        <w:rPr>
          <w:rFonts w:ascii="Arial" w:hAnsi="Arial" w:cs="Arial"/>
          <w:b/>
          <w:color w:val="1F3864"/>
          <w:sz w:val="32"/>
          <w:rtl w:val="1"/>
        </w:rPr>
        <w:t>2. نظرة عامة على الأداء</w:t>
      </w:r>
      <w:bookmarkEnd w:id="2001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يلخّص الجدول التالي أهم مؤشرات الأداء، مع تفسير كل مؤشر وتقييمه وتوصية أولية. الأرقام مستخرجة كما هي من البيانات دون أي تقدير.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38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المؤشر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القيمة</w:t>
            </w:r>
          </w:p>
        </w:tc>
        <w:tc>
          <w:tcPr>
            <w:tcW w:type="dxa" w:w="294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المعنى</w:t>
            </w:r>
          </w:p>
        </w:tc>
        <w:tc>
          <w:tcPr>
            <w:tcW w:type="dxa" w:w="130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التقييم</w:t>
            </w:r>
          </w:p>
        </w:tc>
        <w:tc>
          <w:tcPr>
            <w:tcW w:type="dxa" w:w="187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التوصية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إجمالي قيمة الطلبات (كل الحالات)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96,205,460 SAR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حجم الطلب الكلي بغض النظر عن الاكتمال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مرجعي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—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الإيرادات المحققة (مكتملة)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40,501,676 SAR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الإيراد الفعلي المعترف به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قوي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الحفاظ عليه وتنميته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عدد الطلبات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35,590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إجمالي الطلبات المسجلة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قوي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—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عدد الطلبات المكتملة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18,454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الطلبات التي اكتملت فعلياً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جيد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رفعها عبر خفض الإلغاء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متوسط قيمة الطلب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2,195 SAR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متوسط قيمة الطلب المكتمل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قوي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رفعه بالخدمات والبيع المكمّل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معدل اكتمال الطلبات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51.9%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نسبة المكتمل من الإجمالي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يحتاج تحسين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معالجة الإلغاء والدفع المعلق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معدل الإلغاء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26.3%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نسبة الطلبات الملغاة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حرج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أولوية قصوى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معدل فشل/تعليق الدفع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19.7%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نسبة المعلقة والفاشلة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حرج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استرداد آلي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معدل الاسترجاع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1.3%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نسبة الطلبات المسترجعة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جيد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مراقبة الأسباب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عدد العملاء المشترين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16,289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عملاء أتموا شراءً واحداً على الأقل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قوي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—</w:t>
            </w:r>
          </w:p>
        </w:tc>
      </w:tr>
      <w:tr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نسبة العملاء المتكررين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9.5%</w:t>
            </w:r>
          </w:p>
        </w:tc>
        <w:tc>
          <w:tcPr>
            <w:tcW w:type="dxa" w:w="294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من اشترى أكثر من مرة</w:t>
            </w:r>
          </w:p>
        </w:tc>
        <w:tc>
          <w:tcPr>
            <w:tcW w:type="dxa" w:w="130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يحتاج تحسين</w:t>
            </w:r>
          </w:p>
        </w:tc>
        <w:tc>
          <w:tcPr>
            <w:tcW w:type="dxa" w:w="187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برامج احتفاظ</w:t>
            </w:r>
          </w:p>
        </w:tc>
      </w:tr>
      <w:tr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متوسط إنفاق العميل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2,486 SAR</w:t>
            </w:r>
          </w:p>
        </w:tc>
        <w:tc>
          <w:tcPr>
            <w:tcW w:type="dxa" w:w="294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إجمالي الإيراد ÷ عدد المشترين</w:t>
            </w:r>
          </w:p>
        </w:tc>
        <w:tc>
          <w:tcPr>
            <w:tcW w:type="dxa" w:w="130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جيد</w:t>
            </w:r>
          </w:p>
        </w:tc>
        <w:tc>
          <w:tcPr>
            <w:tcW w:type="dxa" w:w="187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رفع القيمة الدائمة</w:t>
            </w:r>
          </w:p>
        </w:tc>
      </w:tr>
    </w:tbl>
    <w:p>
      <w:pPr>
        <w:spacing w:after="40"/>
      </w:pP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ملاحظة: «إجمالي قيمة الطلبات» يشمل كل الحالات (بما فيها الملغاة والمعلقة) ويُستخدم كمقياس للطلب الكلي، بينما «الإيرادات المحققة» تقتصر على الطلبات المكتملة.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2" w:name="sec3"/>
      <w:r>
        <w:rPr>
          <w:rFonts w:ascii="Arial" w:hAnsi="Arial" w:cs="Arial"/>
          <w:b/>
          <w:color w:val="1F3864"/>
          <w:sz w:val="32"/>
          <w:rtl w:val="1"/>
        </w:rPr>
        <w:t>3. تحليل أداء الطلبات</w:t>
      </w:r>
      <w:bookmarkEnd w:id="2002"/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توزيع الطلبات حسب الحالة من حيث العدد والقيمة: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الحالة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عدد الطلبات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من الطلبات</w:t>
            </w:r>
          </w:p>
        </w:tc>
        <w:tc>
          <w:tcPr>
            <w:tcW w:type="dxa" w:w="238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إجمالي القيمة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من القيمة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مكتمل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18,454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51.9%</w:t>
            </w:r>
          </w:p>
        </w:tc>
        <w:tc>
          <w:tcPr>
            <w:tcW w:type="dxa" w:w="238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40,501,676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42.1%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قيد التنفيذ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293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0.8%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727,530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0.8%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معلق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0.0%</w:t>
            </w:r>
          </w:p>
        </w:tc>
        <w:tc>
          <w:tcPr>
            <w:tcW w:type="dxa" w:w="238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59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0.0%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بانتظار الدفع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6,503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18.3%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21,738,577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22.6%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فشل الدفع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509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1.4%</w:t>
            </w:r>
          </w:p>
        </w:tc>
        <w:tc>
          <w:tcPr>
            <w:tcW w:type="dxa" w:w="238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1,698,393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1.8%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ملغي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9,359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26.3%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30,319,866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31.5%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مسترجع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471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1.3%</w:t>
            </w:r>
          </w:p>
        </w:tc>
        <w:tc>
          <w:tcPr>
            <w:tcW w:type="dxa" w:w="238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1,219,358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1.3%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الإجمالي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35,590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100.0%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96,205,460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100.0%</w:t>
            </w:r>
          </w:p>
        </w:tc>
      </w:tr>
    </w:tbl>
    <w:p>
      <w:pPr>
        <w:spacing w:after="40"/>
      </w:pPr>
    </w:p>
    <w:p>
      <w:pPr>
        <w:bidi/>
        <w:spacing w:after="120" w:before="160" w:line="312" w:lineRule="auto"/>
        <w:jc w:val="right"/>
      </w:pPr>
      <w:r>
        <w:rPr>
          <w:rFonts w:ascii="Arial" w:hAnsi="Arial" w:cs="Arial"/>
          <w:b/>
          <w:color w:val="1F3864"/>
          <w:sz w:val="24"/>
          <w:rtl w:val="1"/>
        </w:rPr>
        <w:t>التفسير التجاري لكل حالة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مكتمل (Completed): </w:t>
      </w:r>
      <w:r>
        <w:rPr>
          <w:rFonts w:ascii="Arial" w:hAnsi="Arial" w:cs="Arial"/>
          <w:b w:val="0"/>
          <w:sz w:val="22"/>
          <w:rtl w:val="1"/>
        </w:rPr>
        <w:t>18,454 طلب و40,501,676 SAR — الإيراد الفعلي؛ الهدف تنميته.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ملغي (Cancelled): </w:t>
      </w:r>
      <w:r>
        <w:rPr>
          <w:rFonts w:ascii="Arial" w:hAnsi="Arial" w:cs="Arial"/>
          <w:b w:val="0"/>
          <w:sz w:val="22"/>
          <w:rtl w:val="1"/>
        </w:rPr>
        <w:t>9,359 طلب بقيمة 30,319,866 SAR — قيمة كبيرة مفقودة تحتاج تحليل الأسباب.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بانتظار الدفع (Pending): </w:t>
      </w:r>
      <w:r>
        <w:rPr>
          <w:rFonts w:ascii="Arial" w:hAnsi="Arial" w:cs="Arial"/>
          <w:b w:val="0"/>
          <w:sz w:val="22"/>
          <w:rtl w:val="1"/>
        </w:rPr>
        <w:t>6,503 طلب — عميل بدأ الدفع ولم يكمله؛ الأقرب للاسترداد.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فشل الدفع (Failed): </w:t>
      </w:r>
      <w:r>
        <w:rPr>
          <w:rFonts w:ascii="Arial" w:hAnsi="Arial" w:cs="Arial"/>
          <w:b w:val="0"/>
          <w:sz w:val="22"/>
          <w:rtl w:val="1"/>
        </w:rPr>
        <w:t>509 طلب — محاولة دفع فشلت تقنياً؛ تحتاج إعادة محاولة أو طريقة بديلة.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مسترجع (Refunded): </w:t>
      </w:r>
      <w:r>
        <w:rPr>
          <w:rFonts w:ascii="Arial" w:hAnsi="Arial" w:cs="Arial"/>
          <w:b w:val="0"/>
          <w:sz w:val="22"/>
          <w:rtl w:val="1"/>
        </w:rPr>
        <w:t>471 طلب بقيمة 1,219,358 SAR — راقب أسباب الاسترجاع لتفادي تكرارها.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قيد التنفيذ/معلق (Processing/On hold): </w:t>
      </w:r>
      <w:r>
        <w:rPr>
          <w:rFonts w:ascii="Arial" w:hAnsi="Arial" w:cs="Arial"/>
          <w:b w:val="0"/>
          <w:sz w:val="22"/>
          <w:rtl w:val="1"/>
        </w:rPr>
        <w:t>294 طلب — قيد المعالجة.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تمييز جوهري بين الأنواع الأربعة (كل منها يحتاج استراتيجية مختلفة)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الطلب الملغي: قرار (من العميل أو النظام) بإلغاء الطلب — يعالَج بمراجعة سبب الإلغاء والمخزون.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الطلب الفاشل الدفع: عطل/رفض في بوابة الدفع — يعالَج بإعادة المحاولة وطريقة دفع بديلة.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الطلب المعلق: انتظار إتمام الدفع — يعالَج بالتذكير الفوري ورابط دفع مباشر.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الطلب المسترد: اكتمل ثم أُعيد المبلغ — يعالَج بتحليل جودة المنتج/التوقعات.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3" w:name="sec4"/>
      <w:r>
        <w:rPr>
          <w:rFonts w:ascii="Arial" w:hAnsi="Arial" w:cs="Arial"/>
          <w:b/>
          <w:color w:val="1F3864"/>
          <w:sz w:val="32"/>
          <w:rtl w:val="1"/>
        </w:rPr>
        <w:t>4. تحليل الأداء الزمني والموسمية</w:t>
      </w:r>
      <w:bookmarkEnd w:id="2003"/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الأداء السنوي (كل الطلبات مقابل المكتملة والإيراد ونسبة الإلغاء):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السنة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كل الطلبات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المكتملة</w:t>
            </w:r>
          </w:p>
        </w:tc>
        <w:tc>
          <w:tcPr>
            <w:tcW w:type="dxa" w:w="204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الإلغاء</w:t>
            </w:r>
          </w:p>
        </w:tc>
      </w:tr>
      <w:tr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2021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467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171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520,214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3,042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50.1%</w:t>
            </w:r>
          </w:p>
        </w:tc>
      </w:tr>
      <w:tr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2022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1,867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1,002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2,113,327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2,109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31.7%</w:t>
            </w:r>
          </w:p>
        </w:tc>
      </w:tr>
      <w:tr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2023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11,165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5,815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13,420,747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2,308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20.5%</w:t>
            </w:r>
          </w:p>
        </w:tc>
      </w:tr>
      <w:tr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11,845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6,270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14,007,365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2,234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25.6%</w:t>
            </w:r>
          </w:p>
        </w:tc>
      </w:tr>
      <w:tr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6,776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3,760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7,642,073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2,032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33.2%</w:t>
            </w:r>
          </w:p>
        </w:tc>
      </w:tr>
      <w:tr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3,470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1,436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2,797,951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1,948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27.6%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الأداء الشهري (آخر 12 شهراً من الطلبات المكتملة):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الشهر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204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نمو الإيراد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2025-07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199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380,583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1,912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-22.1%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2025-08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235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521,231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2,218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37.0%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2025-09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383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762,564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1,991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46.3%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2025-10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196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368,516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1,880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-51.7%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2025-11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296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463,675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1,566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25.8%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2025-12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303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502,848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1,660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8.4%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2026-01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260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490,697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1,887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-2.4%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2026-02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227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447,005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1,969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-8.9%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2026-03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129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249,398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1,933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-44.2%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2026-04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216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391,393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1,812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56.9%</w:t>
            </w:r>
          </w:p>
        </w:tc>
      </w:tr>
      <w:tr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2026-05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394</w:t>
            </w:r>
          </w:p>
        </w:tc>
        <w:tc>
          <w:tcPr>
            <w:tcW w:type="dxa" w:w="204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793,269 SAR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2,013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102.7%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2026-06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210</w:t>
            </w:r>
          </w:p>
        </w:tc>
        <w:tc>
          <w:tcPr>
            <w:tcW w:type="dxa" w:w="204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426,190 SAR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2,029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-46.3%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الأداء حسب يوم الأسبوع (طلبات مكتملة):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3249"/>
        <w:gridCol w:w="3249"/>
        <w:gridCol w:w="3249"/>
      </w:tblGrid>
      <w:tr>
        <w:tc>
          <w:tcPr>
            <w:tcW w:type="dxa" w:w="198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اليوم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255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الإثنين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2,821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5,878,201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الثلاثاء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2,734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5,964,597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الأربعاء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2,467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5,465,994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الخميس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2,487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5,607,690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الجمعة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2,318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5,183,167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السبت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2,793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6,205,153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الأحد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2,834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6,196,874 SAR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الأداء حسب شهر السنة (طلبات مكتملة، مجمّعة عبر كل السنوات):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3249"/>
        <w:gridCol w:w="3249"/>
        <w:gridCol w:w="3249"/>
      </w:tblGrid>
      <w:tr>
        <w:tc>
          <w:tcPr>
            <w:tcW w:type="dxa" w:w="198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الشهر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255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يناير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1,450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2,657,106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فبراير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1,843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3,716,276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مارس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2,044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4,236,379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أبريل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1,192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3,126,957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مايو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1,485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3,522,175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يونيو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1,427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3,296,566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يوليو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1,075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2,785,733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أغسطس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1,329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3,395,512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سبتمبر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2,300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5,652,433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أكتوبر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1,251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2,640,372 SAR</w:t>
            </w:r>
          </w:p>
        </w:tc>
      </w:tr>
      <w:tr>
        <w:tc>
          <w:tcPr>
            <w:tcW w:type="dxa" w:w="198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نوفمبر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1,370</w:t>
            </w:r>
          </w:p>
        </w:tc>
        <w:tc>
          <w:tcPr>
            <w:tcW w:type="dxa" w:w="255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2,527,076 SAR</w:t>
            </w:r>
          </w:p>
        </w:tc>
      </w:tr>
      <w:tr>
        <w:tc>
          <w:tcPr>
            <w:tcW w:type="dxa" w:w="198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ديسمبر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1,688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2,945,092 SAR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خلاصة التوقيت (للاستفادة في جدولة الحملات)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أعلى أيام الأسبوع إيراداً: السبت؛ وأضعفها: الجمعة.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أعلى شهور السنة إيراداً: سبتمبر؛ وأضعفها: نوفمبر.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ساعة الذروة في عدد الطلبات: 20:00 تقريباً.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أعلى سنة أداءً من حيث الإيراد المحقق: 2024.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التوصية: كثّف الإنفاق الإعلاني والرسائل في أيام/شهور الذروة، واستخدم الفترات الضعيفة لعروض تحفيزية لتسوية الطلب.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4" w:name="sec5"/>
      <w:r>
        <w:rPr>
          <w:rFonts w:ascii="Arial" w:hAnsi="Arial" w:cs="Arial"/>
          <w:b/>
          <w:color w:val="1F3864"/>
          <w:sz w:val="32"/>
          <w:rtl w:val="1"/>
        </w:rPr>
        <w:t>5. تحليل العملاء</w:t>
      </w:r>
      <w:bookmarkEnd w:id="2004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يُعرّف العميل هنا بواسطة رقم الجوال (لا يتوفر بريد إلكتروني في البيانات). تقتصر مؤشرات القيمة على الطلبات المكتملة.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3249"/>
        <w:gridCol w:w="3249"/>
        <w:gridCol w:w="3249"/>
      </w:tblGrid>
      <w:tr>
        <w:tc>
          <w:tcPr>
            <w:tcW w:type="dxa" w:w="3402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المؤشر</w:t>
            </w:r>
          </w:p>
        </w:tc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القيمة</w:t>
            </w:r>
          </w:p>
        </w:tc>
        <w:tc>
          <w:tcPr>
            <w:tcW w:type="dxa" w:w="3402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الدلالة</w:t>
            </w:r>
          </w:p>
        </w:tc>
      </w:tr>
      <w:tr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إجمالي العملاء المشترين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16,289</w:t>
            </w:r>
          </w:p>
        </w:tc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عملاء أتموا شراءً واحداً على الأقل</w:t>
            </w:r>
          </w:p>
        </w:tc>
      </w:tr>
      <w:tr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عملاء متكررون (طلبان فأكثر)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1,543 (9.5%)</w:t>
            </w:r>
          </w:p>
        </w:tc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قاعدة الولاء الحالية</w:t>
            </w:r>
          </w:p>
        </w:tc>
      </w:tr>
      <w:tr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مشترون لمرة واحدة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14,746 (90.5%)</w:t>
            </w:r>
          </w:p>
        </w:tc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أكبر فرصة لرفع التكرار</w:t>
            </w:r>
          </w:p>
        </w:tc>
      </w:tr>
      <w:tr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عملاء معرضون للخطر (قيمة عالية، &gt;120 يوم)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6,698</w:t>
            </w:r>
          </w:p>
        </w:tc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أولوية الاسترجاع</w:t>
            </w:r>
          </w:p>
        </w:tc>
      </w:tr>
      <w:tr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مستخدمو الكوبونات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6,486</w:t>
            </w:r>
          </w:p>
        </w:tc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شريحة حساسة للسعر</w:t>
            </w:r>
          </w:p>
        </w:tc>
      </w:tr>
      <w:tr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متوسط عدد الطلبات لكل عميل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1.13</w:t>
            </w:r>
          </w:p>
        </w:tc>
        <w:tc>
          <w:tcPr>
            <w:tcW w:type="dxa" w:w="3402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مؤشر التكرار</w:t>
            </w:r>
          </w:p>
        </w:tc>
      </w:tr>
      <w:tr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متوسط قيمة العميل (إجمالي إنفاقه)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2,486 SAR</w:t>
            </w:r>
          </w:p>
        </w:tc>
        <w:tc>
          <w:tcPr>
            <w:tcW w:type="dxa" w:w="3402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القيمة الحالية للعميل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أعلى 15 عميلاً من حيث الإنفاق المحقق: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العميل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المدينة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إجمالي الإنفاق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آخر طلب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muteb aljarallah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75,635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18,909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2023-10-26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ibrahim alqarni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بيشة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66,764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9,538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2023-04-28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ER Test Developer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Arar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7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63,862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9,123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2024-08-25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شركة كرم الريف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51,683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12,921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2025-04-06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مطر الهليل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بريدة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50,386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3,599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2024-01-03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مركز رعاية الام Mommy Care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مكة المكرمة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42,038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14,013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2021-07-06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احمد عبدالله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جدة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37,322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37,322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2026-05-07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علياء العنزي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سكاكا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36,608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12,203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2024-10-06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عبدالرحمن بابكر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المدينة المنورة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34,676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34,676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2025-04-18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BADER ALMALIK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33,409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16,704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2024-11-21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Abdullah Alfriji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31,995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15,997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2025-08-30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Omar Abdulaziz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31,832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15,916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2025-09-12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Fayez Aldabs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28,869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28,869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2023-11-11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شركة وتر السعادة للتجارة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بريدة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28,676 SAR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14,338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2026-05-10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Enas Dandini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المدينة المنورة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28,278 SAR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28,278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2024-08-31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اكتساب مقابل احتفاظ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نسبة العملاء المتكررين 9.5% تعني أن غالبية العملاء يشترون مرة واحدة؛ رفع التكرار أرخص من اكتساب عملاء جدد.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استراتيجية الاكتساب: تركّز على الوصول لجمهور جديد عبر الحملات والمنتجات الأكثر جذباً.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استراتيجية الاحتفاظ: تسلسل ما بعد الشراء، الطلب الثاني، الخدمات المكمّلة، وبرنامج ولاء.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5" w:name="sec6"/>
      <w:r>
        <w:rPr>
          <w:rFonts w:ascii="Arial" w:hAnsi="Arial" w:cs="Arial"/>
          <w:b/>
          <w:color w:val="1F3864"/>
          <w:sz w:val="32"/>
          <w:rtl w:val="1"/>
        </w:rPr>
        <w:t>6. تحليل RFM لشرائح العملاء</w:t>
      </w:r>
      <w:bookmarkEnd w:id="2005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تقسيم العملاء وفق ثلاثة أبعاد: الحداثة (Recency)، التكرار (Frequency)، والقيمة (Monetary). الأرقام محسوبة على العملاء المشترين فقط.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الشريحة</w:t>
            </w:r>
          </w:p>
        </w:tc>
        <w:tc>
          <w:tcPr>
            <w:tcW w:type="dxa" w:w="90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العملاء</w:t>
            </w:r>
          </w:p>
        </w:tc>
        <w:tc>
          <w:tcPr>
            <w:tcW w:type="dxa" w:w="79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إجمالي القيمة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القيمة</w:t>
            </w:r>
          </w:p>
        </w:tc>
        <w:tc>
          <w:tcPr>
            <w:tcW w:type="dxa" w:w="255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الإجراء/العرض المناسب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أبطال (Champions)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504</w:t>
            </w:r>
          </w:p>
        </w:tc>
        <w:tc>
          <w:tcPr>
            <w:tcW w:type="dxa" w:w="79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3.1%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3,215,474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6,380 SAR</w:t>
            </w:r>
          </w:p>
        </w:tc>
        <w:tc>
          <w:tcPr>
            <w:tcW w:type="dxa" w:w="255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برنامج ولاء وعروض حصرية مبكرة + طلب تقييم/إحالة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عملاء أوفياء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1,585</w:t>
            </w:r>
          </w:p>
        </w:tc>
        <w:tc>
          <w:tcPr>
            <w:tcW w:type="dxa" w:w="79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9.7%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8,572,442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5,408 SAR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بيع مكمّل (ملحقات/ضمان) لرفع الطلب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عملاء جدد واعدون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4,085</w:t>
            </w:r>
          </w:p>
        </w:tc>
        <w:tc>
          <w:tcPr>
            <w:tcW w:type="dxa" w:w="79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25.1%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4,571,580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1,119 SAR</w:t>
            </w:r>
          </w:p>
        </w:tc>
        <w:tc>
          <w:tcPr>
            <w:tcW w:type="dxa" w:w="255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ترحيب + كوبون الطلب الثاني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معرضون للخطر (قيمة عالية)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576</w:t>
            </w:r>
          </w:p>
        </w:tc>
        <w:tc>
          <w:tcPr>
            <w:tcW w:type="dxa" w:w="79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3.5%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3,776,798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6,557 SAR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تواصل شخصي + عرض استرجاع قوي فوراً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بحاجة إلى تنشيط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1,158</w:t>
            </w:r>
          </w:p>
        </w:tc>
        <w:tc>
          <w:tcPr>
            <w:tcW w:type="dxa" w:w="79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7.1%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5,684,097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4,909 SAR</w:t>
            </w:r>
          </w:p>
        </w:tc>
        <w:tc>
          <w:tcPr>
            <w:tcW w:type="dxa" w:w="255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حملة win-back بكوبون محدود المدة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عملاء عاديون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4,786</w:t>
            </w:r>
          </w:p>
        </w:tc>
        <w:tc>
          <w:tcPr>
            <w:tcW w:type="dxa" w:w="79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29.4%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10,532,450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2,201 SAR</w:t>
            </w:r>
          </w:p>
        </w:tc>
        <w:tc>
          <w:tcPr>
            <w:tcW w:type="dxa" w:w="255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حملات موسمية عامة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خاملون / مفقودون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3,595</w:t>
            </w:r>
          </w:p>
        </w:tc>
        <w:tc>
          <w:tcPr>
            <w:tcW w:type="dxa" w:w="79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22.1%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4,148,496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1,154 SAR</w:t>
            </w:r>
          </w:p>
        </w:tc>
        <w:tc>
          <w:tcPr>
            <w:tcW w:type="dxa" w:w="255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إعادة تفعيل أخيرة منخفضة التكلفة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الرسالة والقناة المناسبة لكل شريحة: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أبطال (Champions): </w:t>
      </w:r>
      <w:r>
        <w:rPr>
          <w:rFonts w:ascii="Arial" w:hAnsi="Arial" w:cs="Arial"/>
          <w:b w:val="0"/>
          <w:sz w:val="20"/>
          <w:rtl w:val="1"/>
        </w:rPr>
        <w:t>الأحدث والأعلى قيمة وتكراراً — القناة المقترحة: واتساب/بريد شخصي.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عملاء أوفياء: </w:t>
      </w:r>
      <w:r>
        <w:rPr>
          <w:rFonts w:ascii="Arial" w:hAnsi="Arial" w:cs="Arial"/>
          <w:b w:val="0"/>
          <w:sz w:val="20"/>
          <w:rtl w:val="1"/>
        </w:rPr>
        <w:t>شراء متكرر وقيمة جيدة — القناة المقترحة: بريد/رسائل.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عملاء جدد واعدون: </w:t>
      </w:r>
      <w:r>
        <w:rPr>
          <w:rFonts w:ascii="Arial" w:hAnsi="Arial" w:cs="Arial"/>
          <w:b w:val="0"/>
          <w:sz w:val="20"/>
          <w:rtl w:val="1"/>
        </w:rPr>
        <w:t>شراء حديث لكن تكرار منخفض — القناة المقترحة: رسائل/بريد.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معرضون للخطر (قيمة عالية): </w:t>
      </w:r>
      <w:r>
        <w:rPr>
          <w:rFonts w:ascii="Arial" w:hAnsi="Arial" w:cs="Arial"/>
          <w:b w:val="0"/>
          <w:sz w:val="20"/>
          <w:rtl w:val="1"/>
        </w:rPr>
        <w:t>قيمة عالية لكن انقطعوا — القناة المقترحة: اتصال/واتساب.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بحاجة إلى تنشيط: </w:t>
      </w:r>
      <w:r>
        <w:rPr>
          <w:rFonts w:ascii="Arial" w:hAnsi="Arial" w:cs="Arial"/>
          <w:b w:val="0"/>
          <w:sz w:val="20"/>
          <w:rtl w:val="1"/>
        </w:rPr>
        <w:t>انخفض نشاطهم — القناة المقترحة: رسائل/إعلانات.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عملاء عاديون: </w:t>
      </w:r>
      <w:r>
        <w:rPr>
          <w:rFonts w:ascii="Arial" w:hAnsi="Arial" w:cs="Arial"/>
          <w:b w:val="0"/>
          <w:sz w:val="20"/>
          <w:rtl w:val="1"/>
        </w:rPr>
        <w:t>نشاط وقيمة متوسطان — القناة المقترحة: إعلانات/بريد.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خاملون / مفقودون: </w:t>
      </w:r>
      <w:r>
        <w:rPr>
          <w:rFonts w:ascii="Arial" w:hAnsi="Arial" w:cs="Arial"/>
          <w:b w:val="0"/>
          <w:sz w:val="20"/>
          <w:rtl w:val="1"/>
        </w:rPr>
        <w:t>انقطعوا وقيمتهم منخفضة — القناة المقترحة: بريد/رسائل جماعية.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6" w:name="sec7"/>
      <w:r>
        <w:rPr>
          <w:rFonts w:ascii="Arial" w:hAnsi="Arial" w:cs="Arial"/>
          <w:b/>
          <w:color w:val="1F3864"/>
          <w:sz w:val="32"/>
          <w:rtl w:val="1"/>
        </w:rPr>
        <w:t>7. تحليل المنتجات</w:t>
      </w:r>
      <w:bookmarkEnd w:id="2006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أعلى 15 منتجاً (SKU) من حيث الإيراد المحقق، مع نسبة الإلغاء المرتبطة بكل منتج (عدد الطلبات الملغاة التي احتوت المنتج ÷ (المكتملة + الملغاة) له):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SKU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العلامة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طلبات مكتملة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الكمية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السعر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إلغاء مرتبط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WQP14W5233CS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913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923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1,215,506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1,317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32.6%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LO182C0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290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428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937,305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2,190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49.9%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NJ242C0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242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331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871,368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2,633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40.4%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MDRS710FGU50D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356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364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799,749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2,197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41.8%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NJ182C0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225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355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778,564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2,193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46.6%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WQP125201CS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585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594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650,357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1,095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32.0%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NF182C2SK1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156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199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571,866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2,874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42.4%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MDG80C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324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329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505,436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1,536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28.2%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AM242C0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97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138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494,735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3,585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38.6%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WQP125201CW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470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477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494,647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1,037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31.8%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NF242C3SK1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101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129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455,550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3,531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40.2%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LFO3P31WLX60HZ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156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156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436,064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2,795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35.3%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MDG80CS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Midea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210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210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345,387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1,645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26.1%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LO242C0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93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118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331,313 SAR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2,808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47.5%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AM182C0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LG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75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100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321,069 SAR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3,211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37.5%</w:t>
            </w:r>
          </w:p>
        </w:tc>
      </w:tr>
    </w:tbl>
    <w:p>
      <w:pPr>
        <w:spacing w:after="40"/>
      </w:pPr>
    </w:p>
    <w:p>
      <w:pPr>
        <w:bidi/>
        <w:spacing w:after="120" w:before="160" w:line="312" w:lineRule="auto"/>
        <w:jc w:val="right"/>
      </w:pPr>
      <w:r>
        <w:rPr>
          <w:rFonts w:ascii="Arial" w:hAnsi="Arial" w:cs="Arial"/>
          <w:b/>
          <w:color w:val="1F3864"/>
          <w:sz w:val="24"/>
          <w:rtl w:val="1"/>
        </w:rPr>
        <w:t>قراءة تحليلية للمنتجات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المنتجات الأعلى إيراداً هي محرّك المبيعات الأساسي؛ يجب ضمان توفرها الدائم وإبرازها في الصفحة الرئيسية والحملات.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المنتجات ذات نسبة الإلغاء المرتبطة المرتفعة تستحق مراجعة (السعر، التوفر، وصف المنتج، مدة التوصيل).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المنتجات مرتفعة السعر مرشّحة لإبراز خيارات التقسيط والتركيب لرفع التحويل.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فرص البيع المتقاطع: اربط المنتجات الأساسية بملحقات مكمّلة وخدمات تركيب/ضمان.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7" w:name="sec8"/>
      <w:r>
        <w:rPr>
          <w:rFonts w:ascii="Arial" w:hAnsi="Arial" w:cs="Arial"/>
          <w:b/>
          <w:color w:val="1F3864"/>
          <w:sz w:val="32"/>
          <w:rtl w:val="1"/>
        </w:rPr>
        <w:t>8. تحليل العلامات التجارية</w:t>
      </w:r>
      <w:bookmarkEnd w:id="2007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العلامة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طلبات مكتملة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الكمية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من الإيراد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إلغاء</w:t>
            </w:r>
          </w:p>
        </w:tc>
      </w:tr>
      <w:tr>
        <w:tc>
          <w:tcPr>
            <w:tcW w:type="dxa" w:w="158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Midea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6,574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8,226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11,630,508 SAR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68.4%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1,769 SAR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35.3%</w:t>
            </w:r>
          </w:p>
        </w:tc>
      </w:tr>
      <w:tr>
        <w:tc>
          <w:tcPr>
            <w:tcW w:type="dxa" w:w="158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LG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1,416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2,084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5,362,214 SAR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31.6%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3,787 SAR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40.5%</w:t>
            </w:r>
          </w:p>
        </w:tc>
      </w:tr>
    </w:tbl>
    <w:p>
      <w:pPr>
        <w:spacing w:after="40"/>
      </w:pPr>
    </w:p>
    <w:p>
      <w:pPr>
        <w:bidi/>
        <w:spacing w:after="120" w:before="160" w:line="312" w:lineRule="auto"/>
        <w:jc w:val="right"/>
      </w:pPr>
      <w:r>
        <w:rPr>
          <w:rFonts w:ascii="Arial" w:hAnsi="Arial" w:cs="Arial"/>
          <w:b/>
          <w:color w:val="1F3864"/>
          <w:sz w:val="24"/>
          <w:rtl w:val="1"/>
        </w:rPr>
        <w:t>تصنيف العلامات التجارية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علامة مهيمنة: </w:t>
      </w:r>
      <w:r>
        <w:rPr>
          <w:rFonts w:ascii="Arial" w:hAnsi="Arial" w:cs="Arial"/>
          <w:b w:val="0"/>
          <w:sz w:val="22"/>
          <w:rtl w:val="1"/>
        </w:rPr>
        <w:t>«Midea» تستحوذ على 68.4% من إيراد العلامات — قوة ومخاطرة تركّز في آن.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علامات قوية تستحق زيادة الاستثمار: الأعلى إيراداً واكتمالاً وانخفاضاً في الإلغاء.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علامات ذات طلب جيد لكن إلغاء مرتفع: راجع التوفر والسعر ومدة التوصيل قبل زيادة الإنفاق.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علامات منخفضة الأداء: أعد تقييم جدواها أو خصّها بحملات موسمية محدودة.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التوصية العامة: توسيع المزيج تدريجياً لتقليل الاعتماد على علامة واحدة.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8" w:name="sec9"/>
      <w:r>
        <w:rPr>
          <w:rFonts w:ascii="Arial" w:hAnsi="Arial" w:cs="Arial"/>
          <w:b/>
          <w:color w:val="1F3864"/>
          <w:sz w:val="32"/>
          <w:rtl w:val="1"/>
        </w:rPr>
        <w:t>9. تحليل خدمات التركيب والخدمات الإضافية</w:t>
      </w:r>
      <w:bookmarkEnd w:id="2008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عدد الطلبات المكتملة المتضمنة خدمة تركيب: 1,927 من 18,454 (نسبة إرفاق 10.4%). إجمالي الطلبات (كل الحالات) المتضمنة تركيباً: 4,863.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436"/>
        <w:gridCol w:w="2436"/>
        <w:gridCol w:w="2436"/>
        <w:gridCol w:w="2436"/>
      </w:tblGrid>
      <w:tr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العلامة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طلبات مكتملة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منها بتركيب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نسبة الإرفاق</w:t>
            </w:r>
          </w:p>
        </w:tc>
      </w:tr>
      <w:tr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Midea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6,574</w:t>
            </w:r>
          </w:p>
        </w:tc>
        <w:tc>
          <w:tcPr>
            <w:tcW w:type="dxa" w:w="181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35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0.5%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LG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1,416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1,161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82.0%</w:t>
            </w:r>
          </w:p>
        </w:tc>
      </w:tr>
    </w:tbl>
    <w:p>
      <w:pPr>
        <w:spacing w:after="40"/>
      </w:pP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نسبة الإرفاق الإجمالية 10.4% تشير إلى فرصة كبيرة لرفعها.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إظهار خدمة التركيب افتراضياً داخل صفحة المنتج وفي السلة وأثناء الدفع.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إنشاء باقات (منتج + تركيب) وإبراز أنها قد تكون مجانية كبوابة لخدمات صيانة/ضمان مدفوعة لاحقاً.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إعادة استهداف المشترين الذين لم يضيفوا التركيب برسالة توضح قيمته.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أثر متوقع: رفع متوسط قيمة الطلب وتعزيز ولاء العميل عبر علاقة خدمة مستمرة.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09" w:name="sec10"/>
      <w:r>
        <w:rPr>
          <w:rFonts w:ascii="Arial" w:hAnsi="Arial" w:cs="Arial"/>
          <w:b/>
          <w:color w:val="1F3864"/>
          <w:sz w:val="32"/>
          <w:rtl w:val="1"/>
        </w:rPr>
        <w:t>10. تحليل الكوبونات والخصومات</w:t>
      </w:r>
      <w:bookmarkEnd w:id="2009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عدد الطلبات التي استخدمت كوبوناً: 11,543 (32.4% من كل الطلبات)، بعدد أكواد فريدة 202. متوسط نسبة الاكتمال للطلبات المكوبنة: 60.2%.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أعلى 15 كوبوناً حسب الاستخدام: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الكود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الاستخدام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المكتملة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الاكتمال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الملغاة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 المحقق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sgwala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2,469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1,702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68.9%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455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4,598,617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welcome6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1,692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1,020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60.3%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378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2,244,022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disc8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1,191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57.6%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310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1,752,461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dis8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663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354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53.4%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157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920,475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ramadan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566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326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57.6%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154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617,679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savebig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488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321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65.8%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117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557,599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ksa94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424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53.3%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161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619,400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ksa95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289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179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61.9%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88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350,839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shaker8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257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113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44.0%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74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217,238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sgmod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237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124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52.3%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67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303,181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armc23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200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136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68.0%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29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450,756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fawazeer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174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46.0%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40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148,890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sgsdc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102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60.0%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32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275,431 SAR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arb20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115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67.6%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27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193,936 SAR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arg10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120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47.5%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119,773 SAR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تقييم أداء الكوبونات (حكم لكل كوبون بحد أدنى 5 استخدامات):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الكود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الاستخدام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الاكتمال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الحكم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sgwala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2,469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68.9%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2,702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4,598,617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ناجح — يستمر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welcome6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1,692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60.3%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2,200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2,244,022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ناجح — يستمر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disc8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1,191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57.6%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2,555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1,752,461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dis8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663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53.4%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2,600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920,475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ksa94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424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53.3%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2,741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619,400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ramadan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566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57.6%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1,895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617,679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savebig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488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65.8%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1,737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557,599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armc23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200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68.0%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3,314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450,756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ناجح — يستمر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ksa95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289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61.9%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1,960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350,839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sgmod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237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52.3%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2,445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303,181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sgsdc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60.0%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2,700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275,431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sgarmc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73.8%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2,906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220,834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ناجح — يستمر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shaker8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257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44.0%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1,922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217,238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  <w:tr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sggazt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69.9%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2,861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205,992 SAR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ناجح — يستمر</w:t>
            </w:r>
          </w:p>
        </w:tc>
      </w:tr>
      <w:tr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arb20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67.6%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1,686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193,936 SAR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— مراقبة</w:t>
            </w:r>
          </w:p>
        </w:tc>
      </w:tr>
    </w:tbl>
    <w:p>
      <w:pPr>
        <w:spacing w:after="40"/>
      </w:pP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كوبونات ناجحة: اكتمال أعلى من المتوسط ومتوسط طلب جيد — أبقِها ووسّع استخدامها.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كوبونات تحقق مبيعات لكن بخصم مرتفع أو متوسط طلب منخفض: أضف حد أدنى للطلب أو استثناءات.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كوبونات ضعيفة الاستخدام: راجع الترويج لها أو أوقفها لتقليل التشتت.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كوبونات مرتبطة بإلغاء/فشل دفع مرتفع: قد تجذب متسوقين غير جادين — اربطها بشروط أوضح.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ملاحظة: لا تتضمن البيانات قيمة الخصم لكل كوبون بشكل صريح على مستوى الطلب، لذا يُقيّم الأداء عبر الاستخدام ونسبة الاكتمال والإيراد المحقق، ويُصنّف تقدير الربحية كفرضية تحتاج إلى بيانات تكلفة/خصم إضافية.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0" w:name="sec11"/>
      <w:r>
        <w:rPr>
          <w:rFonts w:ascii="Arial" w:hAnsi="Arial" w:cs="Arial"/>
          <w:b/>
          <w:color w:val="1F3864"/>
          <w:sz w:val="32"/>
          <w:rtl w:val="1"/>
        </w:rPr>
        <w:t>11. تحليل المدن والمناطق</w:t>
      </w:r>
      <w:bookmarkEnd w:id="2010"/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أعلى 15 مدينة حسب الإيراد المحقق مع نسبة الإلغاء لكل مدينة: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المدينة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كل الطلبات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المكتملة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الإلغاء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13,828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8,145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18,411,069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2,260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22.6%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جدة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4,777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2,334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5,039,948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2,159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27.9%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الدمام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1,929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962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2,168,893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2,255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27.0%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مكة المكرمة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1,420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630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1,368,379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2,172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28.0%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المدينة المنورة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1,588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691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1,367,233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1,979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31.0%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الخبر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991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526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1,151,451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2,189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26.1%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الهفوف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815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434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934,903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2,154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24.4%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الطائف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803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398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791,837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1,990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23.8%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الجبيل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580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311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715,655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2,301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23.1%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بريدة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621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331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654,688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1,978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23.2%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القطيف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394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220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544,198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2,474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22.1%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تبوك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602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227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486,993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2,145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35.2%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أبها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455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217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391,860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1,806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28.8%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جازان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423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173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386,407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2,234 SAR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31.7%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ينبع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317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146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372,038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2,548 SAR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30.3%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أعلى 12 حياً/منطقة حسب الطلبات المكتملة: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الحي/المنطقة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المدينة الأبرز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متوسط الطلب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النرجس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102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289,324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2,837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النرجس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83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253,447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3,054 SAR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الروضة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61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134,408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2,203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An Narjis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56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179,573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3,207 SAR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ظهرة لبن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55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104,482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1,900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العارض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54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160,766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2,977 SAR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العزيزية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53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116,363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2,196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السلام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48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90,109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1,877 SAR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العارض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47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105,953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2,254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الملقا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112,470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2,445 SAR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حي الرمال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77,960 SAR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1,695 SAR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الرمال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الرياض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92,299 SAR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2,006 SAR</w:t>
            </w:r>
          </w:p>
        </w:tc>
      </w:tr>
    </w:tbl>
    <w:p>
      <w:pPr>
        <w:spacing w:after="40"/>
      </w:pP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المدن الأعلى إيراداً (الرياض وجدة تحديداً) هي أولوية التشغيل والاستهداف الإعلاني الجغرافي.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المدن ذات نسبة الإلغاء المرتفعة تستحق مراجعة تجربة الشحن/التوصيل وتوفر المخزون محلياً.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الأحياء عالية الكثافة مرشحة لعروض توصيل أسرع وحملات جغرافية دقيقة (geo-targeting).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1" w:name="sec12"/>
      <w:r>
        <w:rPr>
          <w:rFonts w:ascii="Arial" w:hAnsi="Arial" w:cs="Arial"/>
          <w:b/>
          <w:color w:val="1F3864"/>
          <w:sz w:val="32"/>
          <w:rtl w:val="1"/>
        </w:rPr>
        <w:t>12. تحليل طرق الدفع</w:t>
      </w:r>
      <w:bookmarkEnd w:id="2011"/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أداء مجموعات الدفع (نسبة الاكتمال والإيراد):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مجموعة الدفع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كل الطلبات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المكتملة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الاكتمال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من الإيراد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بطاقات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15,525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8,966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57.8%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21,671,279 SAR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53.5%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BNPL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20,038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9,481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47.3%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18,823,732 SAR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46.5%</w:t>
            </w:r>
          </w:p>
        </w:tc>
      </w:tr>
      <w:tr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نقدي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66.7%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6,325 SAR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0.0%</w:t>
            </w:r>
          </w:p>
        </w:tc>
      </w:tr>
      <w:tr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أخرى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14.3%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340 SAR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0.0%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التفصيل حسب اسم طريقة الدفع (أعلى 12):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835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طريقة الدفع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كل الطلبات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المكتملة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الاكتمال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الإيراد المحقق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تابي (تقسيط)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12,975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6,039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46.5%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11,974,680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بطاقة ائتمانية (URWAY)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12,519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7,808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62.4%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19,065,020 SAR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تمارا (تقسيط)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7,063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3,442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48.7%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6,849,053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نون باي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1,776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759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42.7%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1,343,713 SAR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بطاقة ائتمانية (PayTabs)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805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342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42.5%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1,069,977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إيزي باي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250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0.4%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13,776 SAR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Apple Pay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174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56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32.2%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178,793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أخرى / غير محدد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21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14.3%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340 SAR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الدفع عند الاستلام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</w:t>
            </w:r>
          </w:p>
        </w:tc>
        <w:tc>
          <w:tcPr>
            <w:tcW w:type="dxa" w:w="124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4</w:t>
            </w:r>
          </w:p>
        </w:tc>
        <w:tc>
          <w:tcPr>
            <w:tcW w:type="dxa" w:w="136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66.7%</w:t>
            </w:r>
          </w:p>
        </w:tc>
        <w:tc>
          <w:tcPr>
            <w:tcW w:type="dxa" w:w="192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6,325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مدى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1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0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0.0%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0 SAR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العلاقة بين مجموعة الدفع وحالة الطلب (اكتمال/إلغاء/تعليق):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مجموعة الدفع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الاكتمال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الإلغاء</w:t>
            </w:r>
          </w:p>
        </w:tc>
        <w:tc>
          <w:tcPr>
            <w:tcW w:type="dxa" w:w="158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معلق/فشل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BNPL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20,038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47.3%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18.4%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32.6%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بطاقات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15,525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57.8%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36.5%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3.0%</w:t>
            </w:r>
          </w:p>
        </w:tc>
      </w:tr>
      <w:tr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أخرى</w:t>
            </w:r>
          </w:p>
        </w:tc>
        <w:tc>
          <w:tcPr>
            <w:tcW w:type="dxa" w:w="147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14.3%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42.9%</w:t>
            </w:r>
          </w:p>
        </w:tc>
        <w:tc>
          <w:tcPr>
            <w:tcW w:type="dxa" w:w="158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38.1%</w:t>
            </w:r>
          </w:p>
        </w:tc>
      </w:tr>
      <w:tr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نقدي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66.7%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33.3%</w:t>
            </w:r>
          </w:p>
        </w:tc>
        <w:tc>
          <w:tcPr>
            <w:tcW w:type="dxa" w:w="158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0.0%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قراءة العلاقة بين الدفع والاكتمال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مجموعة «البطاقات» تسجّل أعلى نسبة إلغاء — مؤشر على احتكاك في بوابة البطاقة (بطء، رفض بنكي، خطوة تحقق، أو انتهاء صلاحية الطلب).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مجموعة «التقسيط (BNPL)» أقل إلغاءً لكنها تركّز الجزء الأكبر من قيمة الطلبات المعلقة (عدم إتمام موافقة التقسيط).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التوصية: مراجعة فنية لبوابة البطاقات، وإبراز خيارات التقسيط مع تسهيل إكمال موافقتها، وإتاحة إعادة المحاولة وتبديل طريقة الدفع عند الفشل.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2" w:name="sec13"/>
      <w:r>
        <w:rPr>
          <w:rFonts w:ascii="Arial" w:hAnsi="Arial" w:cs="Arial"/>
          <w:b/>
          <w:color w:val="1F3864"/>
          <w:sz w:val="32"/>
          <w:rtl w:val="1"/>
        </w:rPr>
        <w:t>13. تحليل الإلغاءات والمرتجعات</w:t>
      </w:r>
      <w:bookmarkEnd w:id="2012"/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إجمالي الطلبات الملغاة: 9,359 بقيمة 30,319,866 SAR. إجمالي المرتجعات: 471 بقيمة 1,219,358 SAR.</w:t>
      </w:r>
    </w:p>
    <w:p>
      <w:pPr>
        <w:bidi/>
        <w:spacing w:after="120" w:before="8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الإلغاء حسب مجموعة الدفع: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436"/>
        <w:gridCol w:w="2436"/>
        <w:gridCol w:w="2436"/>
        <w:gridCol w:w="2436"/>
      </w:tblGrid>
      <w:tr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مجموعة الدفع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الملغاة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الإلغاء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بطاقات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15,525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5,664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36.5%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BNPL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20,038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3,684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18.4%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أخرى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42.9%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نقدي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33.3%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أعلى المدن من حيث عدد الطلبات الملغاة: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436"/>
        <w:gridCol w:w="2436"/>
        <w:gridCol w:w="2436"/>
        <w:gridCol w:w="2436"/>
      </w:tblGrid>
      <w:tr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المدينة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الملغاة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% الإلغاء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الرياض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13,828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3,128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22.6%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جدة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4,777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1,334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27.9%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الدمام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1,929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520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27.0%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المدينة المنورة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1,588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493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31.0%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مكة المكرمة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1,420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397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28.0%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الخبر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991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259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26.1%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تبوك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602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212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35.2%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الهفوف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815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199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24.4%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الطائف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803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191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23.8%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بريدة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621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144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23.2%</w:t>
            </w:r>
          </w:p>
        </w:tc>
      </w:tr>
      <w:tr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الجبيل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580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134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23.1%</w:t>
            </w:r>
          </w:p>
        </w:tc>
      </w:tr>
      <w:tr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جازان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423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134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31.7%</w:t>
            </w:r>
          </w:p>
        </w:tc>
      </w:tr>
    </w:tbl>
    <w:p>
      <w:pPr>
        <w:spacing w:after="40"/>
      </w:pPr>
    </w:p>
    <w:p>
      <w:pPr>
        <w:bidi/>
        <w:spacing w:after="120" w:before="160" w:line="312" w:lineRule="auto"/>
        <w:jc w:val="right"/>
      </w:pPr>
      <w:r>
        <w:rPr>
          <w:rFonts w:ascii="Arial" w:hAnsi="Arial" w:cs="Arial"/>
          <w:b/>
          <w:color w:val="1F3864"/>
          <w:sz w:val="24"/>
          <w:rtl w:val="1"/>
        </w:rPr>
        <w:t>تصنيف أسباب الإلغاء المحتملة (بعضها فرضيات تحتاج تحققاً):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إلغاء بسبب عدم إتمام الدفع خلال المهلة (النظام يلغي تلقائياً) — مرجّح بقوة نظراً لحجم المعلق.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إلغاء بسبب نفاد المخزون أو تأخر التوفر — يحتاج ربط الإلغاء بحالة المخزون للتأكيد.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إلغاء بقرار العميل (تغيّر الرأي/السعر/مدة التوصيل).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إلغاء مرتبط بفشل بوابة الدفع (خاصة البطاقات).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إلغاء يحتاج مراجعة يدوية (طلبات مرتفعة القيمة).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الأسباب التي لا يمكن إثباتها من الملف وحده تُصنّف كفرضيات وتُدرج في قسم «المشكلات التي تحتاج تحقيقاً إضافياً».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3" w:name="sec14"/>
      <w:r>
        <w:rPr>
          <w:rFonts w:ascii="Arial" w:hAnsi="Arial" w:cs="Arial"/>
          <w:b/>
          <w:color w:val="1F3864"/>
          <w:sz w:val="32"/>
          <w:rtl w:val="1"/>
        </w:rPr>
        <w:t>14. تحليل المدفوعات المعلقة وفشل الدفع</w:t>
      </w:r>
      <w:bookmarkEnd w:id="2013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عدد الطلبات المعلقة/الفاشلة: 7,012 بقيمة إجمالية 23,436,971 SAR. هذه الطلبات وصل فيها العميل إلى مرحلة متقدمة من الشراء دون إتمام الدفع، وهي الأقرب للاسترداد.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توزيع المعلق حسب مجموعة الدفع: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3249"/>
        <w:gridCol w:w="3249"/>
        <w:gridCol w:w="3249"/>
      </w:tblGrid>
      <w:tr>
        <w:tc>
          <w:tcPr>
            <w:tcW w:type="dxa" w:w="2835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مجموعة الدفع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الطلبات</w:t>
            </w:r>
          </w:p>
        </w:tc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القيمة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BNPL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6,531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21,873,258 SAR</w:t>
            </w:r>
          </w:p>
        </w:tc>
      </w:tr>
      <w:tr>
        <w:tc>
          <w:tcPr>
            <w:tcW w:type="dxa" w:w="2835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بطاقات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473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1,561,059 SAR</w:t>
            </w:r>
          </w:p>
        </w:tc>
      </w:tr>
      <w:tr>
        <w:tc>
          <w:tcPr>
            <w:tcW w:type="dxa" w:w="2835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أخرى</w:t>
            </w:r>
          </w:p>
        </w:tc>
        <w:tc>
          <w:tcPr>
            <w:tcW w:type="dxa" w:w="1701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8</w:t>
            </w:r>
          </w:p>
        </w:tc>
        <w:tc>
          <w:tcPr>
            <w:tcW w:type="dxa" w:w="2268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9"/>
                <w:rtl w:val="1"/>
              </w:rPr>
              <w:t>2,653 SAR</w:t>
            </w:r>
          </w:p>
        </w:tc>
      </w:tr>
    </w:tbl>
    <w:p>
      <w:pPr>
        <w:spacing w:after="40"/>
      </w:pPr>
    </w:p>
    <w:p>
      <w:pPr>
        <w:bidi/>
        <w:spacing w:after="120" w:before="12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خصائص إضافية للطلبات المعلقة: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عملاء جدد مقابل حاليين: 4,644 من عملاء جدد (لم يُتمّوا شراءً سابقاً) و2,368 من عملاء لهم شراء سابق.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طلبات معلقة استخدمت كوبوناً: 1,587.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الجزء الأكبر من القيمة المعلقة يقع في قنوات التقسيط، ما يرجّح تعثّر إكمال موافقة التقسيط.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استراتيجية استرداد عملية (بدون ميزانية)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تذكير آلي خلال أول ساعة ثم خلال 24 ساعة عبر SMS/واتساب مع رابط دفع مباشر.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إعادة إرسال رابط الدفع واقتراح طريقة دفع بديلة عند تعثّر التقسيط أو فشل البطاقة.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تواصل يدوي للطلبات مرتفعة القيمة (الأولوية للقيمة الأعلى).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تقسيم الطلبات المعلقة إلى شرائح حسب قيمة الطلب وسبب التعثّر (بطاقة مقابل تقسيط).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تقدير مبدئي: استرداد 15%–30% من القيمة المعلقة يعادل نحو 3,515,546 SAR–7,031,091 SAR (يحتاج اختباراً فعلياً).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4" w:name="sec15"/>
      <w:r>
        <w:rPr>
          <w:rFonts w:ascii="Arial" w:hAnsi="Arial" w:cs="Arial"/>
          <w:b/>
          <w:color w:val="1F3864"/>
          <w:sz w:val="32"/>
          <w:rtl w:val="1"/>
        </w:rPr>
        <w:t>15. استراتيجية الحملات التسويقية المبنية على البيانات</w:t>
      </w:r>
      <w:bookmarkEnd w:id="2014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الحملات التالية مبنية مباشرة على أرقام هذا التقرير. لا تتضمن ميزانيات، والتأثير المذكور تقديري يحتاج إلى اختبار A/B وقياس فعلي.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إجمالي الحملات المقترحة: 17 حملة موزعة على الفئات المطلوبة.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 حملة: استرداد الطلبات المعلقة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استعادة إيراد جاهز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7,012 طلب معلق/فاشل بقيمة 23,436,971 SAR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أصحاب طلبات بانتظار الدفع/فشل خلال آخر 60 يوماً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تذكير + رابط دفع مباشر + طريقة بديلة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SMS/واتساب/بريد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خلال 1–24 ساعة من التعليق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مرتفع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نسبة الطلبات المستردة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15.2 حملة: استرداد فشل الدفع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تحويل محاولات الدفع الفاشلة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509 طلب فشل دفعه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من فشلت لهم عملية الدفع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إعادة المحاولة + طريقة دفع بديلة (تقسيط/مدى)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SMS/واتساب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فور الفشل + تذكير لاحق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معدل نجاح إعادة المحاولة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15.3 حملة: إعادة استهداف الملغاة القابلة للاسترداد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استرجاع طلبات ملغاة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جزء من 9,359 طلب ملغي بقيمة 30,319,866 SAR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أصحاب طلبات ملغاة حديثة عالية القيمة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عرض/كوبون استرجاع مشروط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إعلانات إعادة استهداف + رسائل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خلال أسبوع من الإلغاء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نسبة الاسترجاع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15.4 حملة: الطلب الثاني للمشترين لمرة واحدة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رفع التكرار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14,746 مشترٍ لمرة واحدة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من اشترى مرة واحدة فقط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كوبون الطلب الثاني + بيع مكمّل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بريد/رسائل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بعد 15–30 يوماً من الطلب الأول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تحوّل من طلب واحد إلى طلبين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15.5 حملة: مكافأة العملاء الأوفياء والأبطال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تعزيز الولاء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2,089 عميل في شريحتي الأبطال والأوفياء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شريحتا الأبطال والأوفياء (RFM)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عروض حصرية مبكرة + برنامج ولاء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واتساب/بريد شخصي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دوري + مواسم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تكرار الشراء والقيمة الدائمة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15.6 حملة: استرجاع المعرضين للخطر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منع فقدان عملاء ذوي قيمة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6,698 عميل عالي القيمة لم يشترِ منذ 120+ يوماً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شريحة المعرضين للخطر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عرض استرجاع قوي محدود المدة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اتصال/واتساب/بريد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فوري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مرتفع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نسبة العائدين والإيراد المسترجع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15.7 حملة: تنشيط الخاملين/المفقودين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إعادة تفعيل منخفضة التكلفة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3,595 عميل خامل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شريحة الخاملين/المفقودين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رسالة إعادة تفعيل + حافز بسيط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بريد/رسائل جماعية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حملة دورية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منخفضة  |  التأثير المتوقع: محدود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معدل إعادة التفعيل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15.8 حملة: إبراز المنتجات الأكثر مبيعاً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زيادة المبيعات الأساسية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المنتجات الأعلى إيراداً في قسم المنتجات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جمهور عام + مهتمون بالفئة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إبراز + خيارات تقسيط/تركيب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إعلانات/الصفحة الرئيسية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مستمر + مواسم الذروة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مرتفع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مبيعات المنتجات المستهدفة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15.9 حملة: حملة العلامة المهيمنة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استثمار في الأعلى أداءً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«Midea» بحصة 68.4% من إيراد العلامات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المهتمون بالعلامة المهيمنة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عروض العلامة + إطلاقات جديدة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إعلانات/بريد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مواسم الذروة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مرتفع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إيراد العلامة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15.10 حملة: البيع المتقاطع والمكمّل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رفع متوسط الطلب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طبيعة منتجات الأجهزة تتيح ملحقات وخدمات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مشترو المنتجات الأساسية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حزم منتج + ملحقات/تركيب/ضمان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صفحة المنتج/السلة/بريد ما بعد الشراء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لحظة الشراء + بعده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متوسط قيمة الطلب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15.11 حملة: ترقية خدمة التركيب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زيادة إرفاق الخدمات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نسبة إرفاق التركيب الحالية 10.4%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مشترو المنتجات القابلة للتركيب دون خدمة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إبراز التركيب + باقات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صفحة المنتج/السلة/إعادة استهداف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لحظة الشراء + بعده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نسبة إضافة التركيب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15.12 حملة: حملات المدن الأعلى أداءً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تكثيف حيث يوجد الطلب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تركّز الإيراد في الرياض/جدة والدمام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جمهور المدن الأعلى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عروض + توصيل أسرع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إعلانات جغرافية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مواسم الذروة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الإيراد حسب المدينة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15.13 حملة: تحويل من طرق دفع كثيرة الفشل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تقليل فشل الدفع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ارتفاع الإلغاء/الفشل في البطاقات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من واجه فشلاً في الدفع بالبطاقة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تشجيع التقسيط/مدى كبديل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أثناء الدفع + رسائل لاحقة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لحظة الفشل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مرتفعة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معدل نجاح الدفع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15.14 حملة: حملات موسمية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استغلال الذروة الموسمية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أعلى الشهور: سبتمبر؛ أعلى الأيام: السبت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جمهور عام + شرائح ذات صلة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عروض موسمية مركزة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متعدد القنوات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حول سبتمبر وأيام الذروة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مبيعات الفترة الموسمية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15.15 حملة: حملة الكوبونات الناجحة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توسيع ما يعمل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كوبونات ذات اكتمال وإيراد مرتفعين (قسم الكوبونات)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جمهور حساس للسعر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أفضل الكوبونات أداءً بشروط واضحة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بريد/رسائل/إعلانات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مواسم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متوسط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إيراد الطلبات المكوبنة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15.16 حملة: بديل للكوبونات ضعيفة الربحية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حماية الهامش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كوبونات ضعيفة الاكتمال أو تخفض متوسط الطلب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جمهور الكوبونات الضعيفة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استبدالها بحوافز مشروطة (حد أدنى للطلب/شحن)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الموقع/بريد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مستمر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متوسطة  |  التأثير المتوقع: محدود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هامش الطلبات المكوبنة</w:t>
      </w:r>
    </w:p>
    <w:p>
      <w:pPr>
        <w:pStyle w:val="Heading3"/>
        <w:bidi/>
        <w:spacing w:before="160" w:after="120"/>
        <w:jc w:val="right"/>
      </w:pPr>
      <w:r>
        <w:rPr>
          <w:rFonts w:ascii="Arial" w:hAnsi="Arial" w:cs="Arial"/>
          <w:b/>
          <w:color w:val="1F3864"/>
          <w:sz w:val="23"/>
          <w:rtl w:val="1"/>
        </w:rPr>
        <w:t>15.17 حملة: حملات حسب متوسط قيمة الطلب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الهدف: </w:t>
      </w:r>
      <w:r>
        <w:rPr>
          <w:rFonts w:ascii="Arial" w:hAnsi="Arial" w:cs="Arial"/>
          <w:b w:val="0"/>
          <w:sz w:val="20"/>
          <w:rtl w:val="1"/>
        </w:rPr>
        <w:t>رفع القيمة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المشكلة/الفرصة والبيانات الداعمة: </w:t>
      </w:r>
      <w:r>
        <w:rPr>
          <w:rFonts w:ascii="Arial" w:hAnsi="Arial" w:cs="Arial"/>
          <w:b w:val="0"/>
          <w:sz w:val="20"/>
          <w:rtl w:val="1"/>
        </w:rPr>
        <w:t>متوسط قيمة الطلب 2,195 SAR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الجمهور المستهدف: </w:t>
      </w:r>
      <w:r>
        <w:rPr>
          <w:rFonts w:ascii="Arial" w:hAnsi="Arial" w:cs="Arial"/>
          <w:b w:val="0"/>
          <w:sz w:val="20"/>
          <w:rtl w:val="1"/>
        </w:rPr>
        <w:t>شرائح حسب حجم السلة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العرض/الحافز: </w:t>
      </w:r>
      <w:r>
        <w:rPr>
          <w:rFonts w:ascii="Arial" w:hAnsi="Arial" w:cs="Arial"/>
          <w:b w:val="0"/>
          <w:sz w:val="20"/>
          <w:rtl w:val="1"/>
        </w:rPr>
        <w:t>عتبات شحن/هدايا لرفع السلة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القنوات: </w:t>
      </w:r>
      <w:r>
        <w:rPr>
          <w:rFonts w:ascii="Arial" w:hAnsi="Arial" w:cs="Arial"/>
          <w:b w:val="0"/>
          <w:sz w:val="20"/>
          <w:rtl w:val="1"/>
        </w:rPr>
        <w:t>السلة/بريد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التوقيت: </w:t>
      </w:r>
      <w:r>
        <w:rPr>
          <w:rFonts w:ascii="Arial" w:hAnsi="Arial" w:cs="Arial"/>
          <w:b w:val="0"/>
          <w:sz w:val="20"/>
          <w:rtl w:val="1"/>
        </w:rPr>
        <w:t>مستمر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الأولوية: </w:t>
      </w:r>
      <w:r>
        <w:rPr>
          <w:rFonts w:ascii="Arial" w:hAnsi="Arial" w:cs="Arial"/>
          <w:b w:val="0"/>
          <w:sz w:val="20"/>
          <w:rtl w:val="1"/>
        </w:rPr>
        <w:t>منخفضة  |  التأثير المتوقع: محدود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0"/>
          <w:rtl w:val="1"/>
        </w:rPr>
        <w:t xml:space="preserve">مؤشر القياس: </w:t>
      </w:r>
      <w:r>
        <w:rPr>
          <w:rFonts w:ascii="Arial" w:hAnsi="Arial" w:cs="Arial"/>
          <w:b w:val="0"/>
          <w:sz w:val="20"/>
          <w:rtl w:val="1"/>
        </w:rPr>
        <w:t>متوسط قيمة الطلب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5" w:name="sec16"/>
      <w:r>
        <w:rPr>
          <w:rFonts w:ascii="Arial" w:hAnsi="Arial" w:cs="Arial"/>
          <w:b/>
          <w:color w:val="1F3864"/>
          <w:sz w:val="32"/>
          <w:rtl w:val="1"/>
        </w:rPr>
        <w:t>16. جدول ملخص الحملات</w:t>
      </w:r>
      <w:bookmarkEnd w:id="2015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c>
          <w:tcPr>
            <w:tcW w:type="dxa" w:w="130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الحملة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الجمهور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الهدف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القناة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العرض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التوقيت</w:t>
            </w:r>
          </w:p>
        </w:tc>
        <w:tc>
          <w:tcPr>
            <w:tcW w:type="dxa" w:w="73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الأولوية</w:t>
            </w:r>
          </w:p>
        </w:tc>
        <w:tc>
          <w:tcPr>
            <w:tcW w:type="dxa" w:w="73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التأثير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5"/>
                <w:rtl w:val="1"/>
              </w:rPr>
              <w:t>المؤشر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استرداد الطلبات المعلقة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أصحاب طلبات بانتظار الدفع/فشل خلال آخر 60 يوماً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استعادة إيراد جاهز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SMS/واتساب/بريد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تذكير + رابط دفع مباشر + طريقة بديلة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خلال 1–24 ساعة من التعليق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نسبة الطلبات المستردة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استرداد فشل الدفع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 فشلت لهم عملية الدفع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تحويل محاولات الدفع الفاشلة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SMS/واتساب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إعادة المحاولة + طريقة دفع بديلة (تقسيط/مدى)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فور الفشل + تذكير لاحق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معدل نجاح إعادة المحاولة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إعادة استهداف الملغاة القابلة للاسترداد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أصحاب طلبات ملغاة حديثة عالية القيمة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استرجاع طلبات ملغاة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إعلانات إعادة استهداف + رسائل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عرض/كوبون استرجاع مشروط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خلال أسبوع من الإلغاء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نسبة الاسترجاع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الطلب الثاني للمشترين لمرة واحدة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 اشترى مرة واحدة فقط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رفع التكرار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بريد/رسائل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كوبون الطلب الثاني + بيع مكمّل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بعد 15–30 يوماً من الطلب الأول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تحوّل من طلب واحد إلى طلبين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مكافأة العملاء الأوفياء والأبطال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شريحتا الأبطال والأوفياء (RFM)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تعزيز الولاء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واتساب/بريد شخصي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عروض حصرية مبكرة + برنامج ولاء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دوري + مواسم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تكرار الشراء والقيمة الدائمة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استرجاع المعرضين للخطر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شريحة المعرضين للخطر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منع فقدان عملاء ذوي قيمة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اتصال/واتساب/بريد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عرض استرجاع قوي محدود المدة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فوري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نسبة العائدين والإيراد المسترجع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تنشيط الخاملين/المفقودين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شريحة الخاملين/المفقودين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إعادة تفعيل منخفضة التكلفة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بريد/رسائل جماعية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رسالة إعادة تفعيل + حافز بسيط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حملة دورية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منخفضة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محدود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معدل إعادة التفعيل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إبراز المنتجات الأكثر مبيعاً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جمهور عام + مهتمون بالفئة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زيادة المبيعات الأساسية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إعلانات/الصفحة الرئيسية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إبراز + خيارات تقسيط/تركيب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مستمر + مواسم الذروة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مبيعات المنتجات المستهدفة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حملة العلامة المهيمنة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المهتمون بالعلامة المهيمنة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استثمار في الأعلى أداءً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إعلانات/بريد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عروض العلامة + إطلاقات جديدة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مواسم الذروة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إيراد العلامة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البيع المتقاطع والمكمّل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مشترو المنتجات الأساسية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رفع متوسط الطلب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صفحة المنتج/السلة/بريد ما بعد الشراء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حزم منتج + ملحقات/تركيب/ضمان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لحظة الشراء + بعده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 قيمة الطلب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ترقية خدمة التركيب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مشترو المنتجات القابلة للتركيب دون خدمة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زيادة إرفاق الخدمات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صفحة المنتج/السلة/إعادة استهداف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إبراز التركيب + باقات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لحظة الشراء + بعده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نسبة إضافة التركيب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حملات المدن الأعلى أداءً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جمهور المدن الأعلى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تكثيف حيث يوجد الطلب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إعلانات جغرافية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عروض + توصيل أسرع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مواسم الذروة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الإيراد حسب المدينة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تحويل من طرق دفع كثيرة الفشل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 واجه فشلاً في الدفع بالبطاقة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تقليل فشل الدفع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أثناء الدفع + رسائل لاحقة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تشجيع التقسيط/مدى كبديل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لحظة الفشل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مرتفعة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معدل نجاح الدفع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حملات موسمية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جمهور عام + شرائح ذات صلة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استغلال الذروة الموسمية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متعدد القنوات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عروض موسمية مركزة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حول سبتمبر وأيام الذروة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مبيعات الفترة الموسمية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حملة الكوبونات الناجحة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جمهور حساس للسعر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توسيع ما يعمل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بريد/رسائل/إعلانات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أفضل الكوبونات أداءً بشروط واضحة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مواسم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إيراد الطلبات المكوبنة</w:t>
            </w:r>
          </w:p>
        </w:tc>
      </w:tr>
      <w:tr>
        <w:tc>
          <w:tcPr>
            <w:tcW w:type="dxa" w:w="130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بديل للكوبونات ضعيفة الربحية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جمهور الكوبونات الضعيفة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حماية الهامش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الموقع/بريد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استبدالها بحوافز مشروطة (حد أدنى للطلب/شحن)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مستمر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متوسطة</w:t>
            </w:r>
          </w:p>
        </w:tc>
        <w:tc>
          <w:tcPr>
            <w:tcW w:type="dxa" w:w="73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محدود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هامش الطلبات المكوبنة</w:t>
            </w:r>
          </w:p>
        </w:tc>
      </w:tr>
      <w:tr>
        <w:tc>
          <w:tcPr>
            <w:tcW w:type="dxa" w:w="130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حملات حسب متوسط قيمة الطلب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شرائح حسب حجم السلة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رفع القيمة</w:t>
            </w:r>
          </w:p>
        </w:tc>
        <w:tc>
          <w:tcPr>
            <w:tcW w:type="dxa" w:w="1020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السلة/بريد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عتبات شحن/هدايا لرفع السلة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مستمر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منخفضة</w:t>
            </w:r>
          </w:p>
        </w:tc>
        <w:tc>
          <w:tcPr>
            <w:tcW w:type="dxa" w:w="73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محدود</w:t>
            </w:r>
          </w:p>
        </w:tc>
        <w:tc>
          <w:tcPr>
            <w:tcW w:type="dxa" w:w="113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5"/>
                <w:rtl w:val="1"/>
              </w:rPr>
              <w:t>متوسط قيمة الطلب</w:t>
            </w:r>
          </w:p>
        </w:tc>
      </w:tr>
    </w:tbl>
    <w:p>
      <w:pPr>
        <w:spacing w:after="40"/>
      </w:pP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الأولوية مصنّفة إلى (مرتفعة/متوسطة/منخفضة)، والتأثير المتوقع إلى (مرتفع/متوسط/محدود). هذه تقديرات منطقية تحتاج إلى اختبار وقياس فعلي.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6" w:name="sec17"/>
      <w:r>
        <w:rPr>
          <w:rFonts w:ascii="Arial" w:hAnsi="Arial" w:cs="Arial"/>
          <w:b/>
          <w:color w:val="1F3864"/>
          <w:sz w:val="32"/>
          <w:rtl w:val="1"/>
        </w:rPr>
        <w:t>17. توصيات تحسين معدل التحويل</w:t>
      </w:r>
      <w:bookmarkEnd w:id="2016"/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صفحة الدفع وطرق الدفع: </w:t>
      </w:r>
      <w:r>
        <w:rPr>
          <w:rFonts w:ascii="Arial" w:hAnsi="Arial" w:cs="Arial"/>
          <w:b w:val="0"/>
          <w:sz w:val="22"/>
          <w:rtl w:val="1"/>
        </w:rPr>
        <w:t>مع معدل اكتمال 51.9% وارتفاع الإلغاء في البطاقات، بسّط خطوات الدفع، فعّل إعادة المحاولة، ورتّب طرق الدفع بحسب نجاحها.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استعادة الطلبات المعلقة: </w:t>
      </w:r>
      <w:r>
        <w:rPr>
          <w:rFonts w:ascii="Arial" w:hAnsi="Arial" w:cs="Arial"/>
          <w:b w:val="0"/>
          <w:sz w:val="22"/>
          <w:rtl w:val="1"/>
        </w:rPr>
        <w:t>مع 23,436,971 SAR معلقة، فعّل تذكير الدفع الآلي ورابط الدفع المباشر.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رسائل الخطأ أثناء الدفع: </w:t>
      </w:r>
      <w:r>
        <w:rPr>
          <w:rFonts w:ascii="Arial" w:hAnsi="Arial" w:cs="Arial"/>
          <w:b w:val="0"/>
          <w:sz w:val="22"/>
          <w:rtl w:val="1"/>
        </w:rPr>
        <w:t>اجعلها واضحة وموجّهة (سبب الرفض + بديل مقترح) بدل رسائل عامة.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عرض المخزون والتوفر: </w:t>
      </w:r>
      <w:r>
        <w:rPr>
          <w:rFonts w:ascii="Arial" w:hAnsi="Arial" w:cs="Arial"/>
          <w:b w:val="0"/>
          <w:sz w:val="22"/>
          <w:rtl w:val="1"/>
        </w:rPr>
        <w:t>أظهر التوفر لحظياً لتقليل الإلغاء بسبب نفاد المخزون.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خيارات التقسيط: </w:t>
      </w:r>
      <w:r>
        <w:rPr>
          <w:rFonts w:ascii="Arial" w:hAnsi="Arial" w:cs="Arial"/>
          <w:b w:val="0"/>
          <w:sz w:val="22"/>
          <w:rtl w:val="1"/>
        </w:rPr>
        <w:t>أبرز تابي/تمارا في صفحة المنتج والسلة لأنها ترفع التحويل وقيمة السلة.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الخدمات الإضافية: </w:t>
      </w:r>
      <w:r>
        <w:rPr>
          <w:rFonts w:ascii="Arial" w:hAnsi="Arial" w:cs="Arial"/>
          <w:b w:val="0"/>
          <w:sz w:val="22"/>
          <w:rtl w:val="1"/>
        </w:rPr>
        <w:t>أظهر التركيب افتراضياً (الإرفاق الحالي 10.4%) لرفع متوسط الطلب.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الثقة والأمان: </w:t>
      </w:r>
      <w:r>
        <w:rPr>
          <w:rFonts w:ascii="Arial" w:hAnsi="Arial" w:cs="Arial"/>
          <w:b w:val="0"/>
          <w:sz w:val="22"/>
          <w:rtl w:val="1"/>
        </w:rPr>
        <w:t>أبرز الضمان وسياسة الإرجاع وشارات الدفع الآمن قرب زر الشراء.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تجربة الجوال والسرعة: </w:t>
      </w:r>
      <w:r>
        <w:rPr>
          <w:rFonts w:ascii="Arial" w:hAnsi="Arial" w:cs="Arial"/>
          <w:b w:val="0"/>
          <w:sz w:val="22"/>
          <w:rtl w:val="1"/>
        </w:rPr>
        <w:t>حسّن سرعة الصفحة وتجربة الدفع على الجوال (القناة الأساسية غالباً).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استعادة السلة: </w:t>
      </w:r>
      <w:r>
        <w:rPr>
          <w:rFonts w:ascii="Arial" w:hAnsi="Arial" w:cs="Arial"/>
          <w:b w:val="0"/>
          <w:sz w:val="22"/>
          <w:rtl w:val="1"/>
        </w:rPr>
        <w:t>رسائل سلة متروكة مرتبطة بالطلبات المعلقة.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سياسة الشحن والتوصيل: </w:t>
      </w:r>
      <w:r>
        <w:rPr>
          <w:rFonts w:ascii="Arial" w:hAnsi="Arial" w:cs="Arial"/>
          <w:b w:val="0"/>
          <w:sz w:val="22"/>
          <w:rtl w:val="1"/>
        </w:rPr>
        <w:t>وضّح مدة وتكلفة التوصيل مبكراً لتقليل التراجع والإلغاء.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7" w:name="sec18"/>
      <w:r>
        <w:rPr>
          <w:rFonts w:ascii="Arial" w:hAnsi="Arial" w:cs="Arial"/>
          <w:b/>
          <w:color w:val="1F3864"/>
          <w:sz w:val="32"/>
          <w:rtl w:val="1"/>
        </w:rPr>
        <w:t>18. توصيات الاحتفاظ بالعملاء</w:t>
      </w:r>
      <w:bookmarkEnd w:id="2017"/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رفع التكرار: </w:t>
      </w:r>
      <w:r>
        <w:rPr>
          <w:rFonts w:ascii="Arial" w:hAnsi="Arial" w:cs="Arial"/>
          <w:b w:val="0"/>
          <w:sz w:val="22"/>
          <w:rtl w:val="1"/>
        </w:rPr>
        <w:t>استهدف 14,746 مشترياً لمرة واحدة بتسلسل ما بعد الشراء وكوبون الطلب الثاني.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القيمة الدائمة: </w:t>
      </w:r>
      <w:r>
        <w:rPr>
          <w:rFonts w:ascii="Arial" w:hAnsi="Arial" w:cs="Arial"/>
          <w:b w:val="0"/>
          <w:sz w:val="22"/>
          <w:rtl w:val="1"/>
        </w:rPr>
        <w:t>برنامج ولاء بنقاط/مزايا للأبطال والأوفياء.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متوسط قيمة الطلب: </w:t>
      </w:r>
      <w:r>
        <w:rPr>
          <w:rFonts w:ascii="Arial" w:hAnsi="Arial" w:cs="Arial"/>
          <w:b w:val="0"/>
          <w:sz w:val="22"/>
          <w:rtl w:val="1"/>
        </w:rPr>
        <w:t>ارفع 2,195 SAR عبر البيع المكمّل والحزم والخدمات.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عودة غير النشطين: </w:t>
      </w:r>
      <w:r>
        <w:rPr>
          <w:rFonts w:ascii="Arial" w:hAnsi="Arial" w:cs="Arial"/>
          <w:b w:val="0"/>
          <w:sz w:val="22"/>
          <w:rtl w:val="1"/>
        </w:rPr>
        <w:t>حملات إعادة تفعيل دورية للخاملين والمفقودين.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المنتجات المكمّلة: </w:t>
      </w:r>
      <w:r>
        <w:rPr>
          <w:rFonts w:ascii="Arial" w:hAnsi="Arial" w:cs="Arial"/>
          <w:b w:val="0"/>
          <w:sz w:val="22"/>
          <w:rtl w:val="1"/>
        </w:rPr>
        <w:t>اقترح ملحقات وخدمات صيانة/ضمان بعد الشراء.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/>
          <w:sz w:val="22"/>
          <w:rtl w:val="1"/>
        </w:rPr>
        <w:t xml:space="preserve">قنوات التواصل: </w:t>
      </w:r>
      <w:r>
        <w:rPr>
          <w:rFonts w:ascii="Arial" w:hAnsi="Arial" w:cs="Arial"/>
          <w:b w:val="0"/>
          <w:sz w:val="22"/>
          <w:rtl w:val="1"/>
        </w:rPr>
        <w:t>شجّع الاشتراك في واتساب/البريد لبناء قناة تواصل مباشرة ومملوكة.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8" w:name="sec19"/>
      <w:r>
        <w:rPr>
          <w:rFonts w:ascii="Arial" w:hAnsi="Arial" w:cs="Arial"/>
          <w:b/>
          <w:color w:val="1F3864"/>
          <w:sz w:val="32"/>
          <w:rtl w:val="1"/>
        </w:rPr>
        <w:t>19. فرص النمو السريعة</w:t>
      </w:r>
      <w:bookmarkEnd w:id="2018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الفرصة</w:t>
            </w:r>
          </w:p>
        </w:tc>
        <w:tc>
          <w:tcPr>
            <w:tcW w:type="dxa" w:w="226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سبب الأهمية / البيانات الداعمة</w:t>
            </w:r>
          </w:p>
        </w:tc>
        <w:tc>
          <w:tcPr>
            <w:tcW w:type="dxa" w:w="124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المصدر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سهولة التنفيذ</w:t>
            </w:r>
          </w:p>
        </w:tc>
        <w:tc>
          <w:tcPr>
            <w:tcW w:type="dxa" w:w="1020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التأثير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مؤشر النجاح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تذكير الدفع الآلي للطلبات المعلقة</w:t>
            </w:r>
          </w:p>
        </w:tc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قيمة معلقة 23,436,971 SAR قابلة للاسترداد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7,012 طلب معلق/فاشل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الاسترداد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إعادة محاولة الدفع + طريقة بديلة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ارتفاع الإلغاء/الفشل في البطاقات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قسم طرق الدفع والإلغاءات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معدل نجاح الدفع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كوبون الطلب الثاني</w:t>
            </w:r>
          </w:p>
        </w:tc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14,746 مشترٍ لمرة واحدة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قسم العملاء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العملاء المتكررين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حملة استرجاع المعرضين للخطر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6,698 عميل عالي القيمة منقطع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RFM/العملاء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الإيراد المسترجع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إبراز التقسيط في صفحة المنتج والسلة</w:t>
            </w:r>
          </w:p>
        </w:tc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التقسيط قناة رئيسية وأقل إلغاءً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طرق الدفع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التحويل ومتوسط الطلب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إظهار التركيب افتراضياً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إرفاق حالي 10.4%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التركيب والخدمات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إضافة الخدمة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إيقاف/مراجعة الكوبونات الضعيفة</w:t>
            </w:r>
          </w:p>
        </w:tc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كوبونات ضعيفة الاكتمال أو تخفض السلة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الكوبونات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محدود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هامش الطلبات المكوبنة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عرض التوفر لحظياً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إلغاء محتمل بسبب نفاد المخزون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الإلغاءات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معدل الإلغاء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رسائل خطأ دفع أوضح</w:t>
            </w:r>
          </w:p>
        </w:tc>
        <w:tc>
          <w:tcPr>
            <w:tcW w:type="dxa" w:w="226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غموض أسباب فشل الدفع</w:t>
            </w:r>
          </w:p>
        </w:tc>
        <w:tc>
          <w:tcPr>
            <w:tcW w:type="dxa" w:w="1247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طرق الدفع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محدود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إكمال الدفع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تركيز الإنفاق في أيام/شهور الذروة</w:t>
            </w:r>
          </w:p>
        </w:tc>
        <w:tc>
          <w:tcPr>
            <w:tcW w:type="dxa" w:w="226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ذروة: سبتمبر والسبت</w:t>
            </w:r>
          </w:p>
        </w:tc>
        <w:tc>
          <w:tcPr>
            <w:tcW w:type="dxa" w:w="1247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الموسمية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020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كفاءة الإنفاق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19" w:name="sec20"/>
      <w:r>
        <w:rPr>
          <w:rFonts w:ascii="Arial" w:hAnsi="Arial" w:cs="Arial"/>
          <w:b/>
          <w:color w:val="1F3864"/>
          <w:sz w:val="32"/>
          <w:rtl w:val="1"/>
        </w:rPr>
        <w:t>20. المشكلات التي تحتاج إلى تحقيق إضافي</w:t>
      </w:r>
      <w:bookmarkEnd w:id="2019"/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 w:val="0"/>
          <w:sz w:val="22"/>
          <w:rtl w:val="1"/>
        </w:rPr>
        <w:t>النقاط التالية لا يمكن تأكيد أسبابها من ملف البيانات وحده، وتُصنّف كفرضيات تحتاج إلى سجلات أو أنظمة إضافية: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المشكلة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ما يظهر في البيانات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ما لا يمكن تأكيده</w:t>
            </w:r>
          </w:p>
        </w:tc>
        <w:tc>
          <w:tcPr>
            <w:tcW w:type="dxa" w:w="1928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البيانات المطلوبة للتحقق</w:t>
            </w:r>
          </w:p>
        </w:tc>
        <w:tc>
          <w:tcPr>
            <w:tcW w:type="dxa" w:w="170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المخاطر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سبب إلغاء طلبات بعد نجاح الدفع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وجود طلبات ملغاة بقيمة كبيرة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هل أُلغيت بعد دفع فعلي؟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سجلّ بوابة الدفع + سجل حالات الطلب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خسارة إيراد مدفوع أو استرجاع مكلف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عدم تطابق حالة الطلب مع بوابة الدفع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تعدد حالات الدفع/التعليق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هل الحالة في المتجر تطابق البوابة؟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تسويات دورية بين المتجر والبوابة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طلبات مدفوعة تظهر كملغاة/معلقة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أسباب فشل بعض طرق الدفع (البطاقات)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ارتفاع الإلغاء/الفشل في البطاقات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ما نسبة الرفض البنكي مقابل مشاكل الواجهة؟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تقارير رفض البوابة/البنك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فقدان مبيعات جاهزة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أثر نفاد المخزون على الإلغاء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إلغاءات مرتفعة في بعض المنتجات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كم إلغاء سببه نفاد المخزون؟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سجل المخزون التاريخي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إلغاءات كان يمكن تفاديها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الإلغاء التلقائي بعد مهلة الدفع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حجم كبير من المعلق ثم الملغى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ما مدة المهلة وكم طلباً تلغيه؟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إعدادات المهلة + سجل النظام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قيمة قابلة للاسترداد تُفقد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طلبات مدفوعة تظهر كملغاة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احتمال أخطاء في الحالة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هل توجد مطابقة مالية مؤكدة؟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التسوية المالية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مخاطر محاسبية وخدمة عملاء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اختلاف ظهور الطلبات بين الحسابات/الأنظمة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احتمال تعدد مصادر الحالة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هل التقارير موحّدة؟</w:t>
            </w:r>
          </w:p>
        </w:tc>
        <w:tc>
          <w:tcPr>
            <w:tcW w:type="dxa" w:w="1928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مقارنة تقارير الأنظمة</w:t>
            </w:r>
          </w:p>
        </w:tc>
        <w:tc>
          <w:tcPr>
            <w:tcW w:type="dxa" w:w="170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قرارات مبنية على أرقام غير متسقة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مشكلات الربط مع الأنظمة الخارجية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الاعتماد على بوابات وتقسيط خارجي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هل هناك فشل تزامن؟</w:t>
            </w:r>
          </w:p>
        </w:tc>
        <w:tc>
          <w:tcPr>
            <w:tcW w:type="dxa" w:w="1928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سجلات التكامل/الـ webhooks</w:t>
            </w:r>
          </w:p>
        </w:tc>
        <w:tc>
          <w:tcPr>
            <w:tcW w:type="dxa" w:w="170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تأخر أو خطأ في تحديث الحالة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20" w:name="sec21"/>
      <w:r>
        <w:rPr>
          <w:rFonts w:ascii="Arial" w:hAnsi="Arial" w:cs="Arial"/>
          <w:b/>
          <w:color w:val="1F3864"/>
          <w:sz w:val="32"/>
          <w:rtl w:val="1"/>
        </w:rPr>
        <w:t>21. جدول التوصيات حسب الأولوية</w:t>
      </w:r>
      <w:bookmarkEnd w:id="2020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التوصية</w:t>
            </w:r>
          </w:p>
        </w:tc>
        <w:tc>
          <w:tcPr>
            <w:tcW w:type="dxa" w:w="181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البيانات الداعمة</w:t>
            </w:r>
          </w:p>
        </w:tc>
        <w:tc>
          <w:tcPr>
            <w:tcW w:type="dxa" w:w="136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المصدر</w:t>
            </w:r>
          </w:p>
        </w:tc>
        <w:tc>
          <w:tcPr>
            <w:tcW w:type="dxa" w:w="90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الأولوية</w:t>
            </w:r>
          </w:p>
        </w:tc>
        <w:tc>
          <w:tcPr>
            <w:tcW w:type="dxa" w:w="907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التأثير</w:t>
            </w:r>
          </w:p>
        </w:tc>
        <w:tc>
          <w:tcPr>
            <w:tcW w:type="dxa" w:w="113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سهولة التنفيذ</w:t>
            </w:r>
          </w:p>
        </w:tc>
        <w:tc>
          <w:tcPr>
            <w:tcW w:type="dxa" w:w="147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مؤشر القياس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تفعيل استرداد المدفوعات المعلقة</w:t>
            </w:r>
          </w:p>
        </w:tc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مدفوعات معلقة 23,436,971 SAR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7,012 طلب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مرتفعة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الاسترداد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خفض الإلغاء عبر مراجعة الدفع والمخزون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ملغاة 30,319,866 SAR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9,359 طلب / إلغاء البطاقات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مرتفعة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معدل الإلغاء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مراجعة فنية لبوابة البطاقات</w:t>
            </w:r>
          </w:p>
        </w:tc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أعلى نسبة إلغاء ضمن مجموعات الدفع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قسم طرق الدفع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مرتفعة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معدل نجاح الدفع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حملة الطلب الثاني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14,746 مشترٍ لمرة واحدة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قسم العملاء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مرتفعة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التكرار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استرجاع العملاء المعرضين للخطر</w:t>
            </w:r>
          </w:p>
        </w:tc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6,698 عميل عالي القيمة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RFM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مرتفعة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مرتفع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الإيراد المسترجع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رفع إرفاق التركيب والخدمات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إرفاق 10.4%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التركيب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متوسطة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نسبة الإرفاق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تحسين مزيج الكوبونات</w:t>
            </w:r>
          </w:p>
        </w:tc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كوبونات ضعيفة/تخفض السلة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الكوبونات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متوسطة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هامش المكوبن</w:t>
            </w:r>
          </w:p>
        </w:tc>
      </w:tr>
      <w:tr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تنويع العلامات التجارية</w:t>
            </w:r>
          </w:p>
        </w:tc>
        <w:tc>
          <w:tcPr>
            <w:tcW w:type="dxa" w:w="181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تركّز في «Midea»</w:t>
            </w:r>
          </w:p>
        </w:tc>
        <w:tc>
          <w:tcPr>
            <w:tcW w:type="dxa" w:w="136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العلامات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متوسطة</w:t>
            </w:r>
          </w:p>
        </w:tc>
        <w:tc>
          <w:tcPr>
            <w:tcW w:type="dxa" w:w="907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134"/>
            <w:shd w:val="clear" w:color="auto" w:fill="EEF1F6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متوسط</w:t>
            </w:r>
          </w:p>
        </w:tc>
        <w:tc>
          <w:tcPr>
            <w:tcW w:type="dxa" w:w="147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توزيع الإيراد</w:t>
            </w:r>
          </w:p>
        </w:tc>
      </w:tr>
      <w:tr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الاستهداف الجغرافي الدقيق</w:t>
            </w:r>
          </w:p>
        </w:tc>
        <w:tc>
          <w:tcPr>
            <w:tcW w:type="dxa" w:w="181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تركّز الطلب في مدن/أحياء محددة</w:t>
            </w:r>
          </w:p>
        </w:tc>
        <w:tc>
          <w:tcPr>
            <w:tcW w:type="dxa" w:w="136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المدن والمناطق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منخفضة</w:t>
            </w:r>
          </w:p>
        </w:tc>
        <w:tc>
          <w:tcPr>
            <w:tcW w:type="dxa" w:w="907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محدود</w:t>
            </w:r>
          </w:p>
        </w:tc>
        <w:tc>
          <w:tcPr>
            <w:tcW w:type="dxa" w:w="1134"/>
          </w:tcPr>
          <w:p>
            <w:pPr>
              <w:bidi/>
              <w:jc w:val="center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سهل</w:t>
            </w:r>
          </w:p>
        </w:tc>
        <w:tc>
          <w:tcPr>
            <w:tcW w:type="dxa" w:w="147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7"/>
                <w:rtl w:val="1"/>
              </w:rPr>
              <w:t>كفاءة الإنفاق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21" w:name="sec22"/>
      <w:r>
        <w:rPr>
          <w:rFonts w:ascii="Arial" w:hAnsi="Arial" w:cs="Arial"/>
          <w:b/>
          <w:color w:val="1F3864"/>
          <w:sz w:val="32"/>
          <w:rtl w:val="1"/>
        </w:rPr>
        <w:t>22. مؤشرات الأداء المقترحة للمتابعة الدورية</w:t>
      </w:r>
      <w:bookmarkEnd w:id="2021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bidiVisual/>
      </w:tblPr>
      <w:tblGrid>
        <w:gridCol w:w="2436"/>
        <w:gridCol w:w="2436"/>
        <w:gridCol w:w="2436"/>
        <w:gridCol w:w="2436"/>
      </w:tblGrid>
      <w:tr>
        <w:tc>
          <w:tcPr>
            <w:tcW w:type="dxa" w:w="204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المؤشر</w:t>
            </w:r>
          </w:p>
        </w:tc>
        <w:tc>
          <w:tcPr>
            <w:tcW w:type="dxa" w:w="2154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طريقة الحساب</w:t>
            </w:r>
          </w:p>
        </w:tc>
        <w:tc>
          <w:tcPr>
            <w:tcW w:type="dxa" w:w="238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سبب الأهمية</w:t>
            </w:r>
          </w:p>
        </w:tc>
        <w:tc>
          <w:tcPr>
            <w:tcW w:type="dxa" w:w="2381"/>
            <w:shd w:val="clear" w:color="auto" w:fill="1F3864"/>
          </w:tcPr>
          <w:p>
            <w:pPr>
              <w:bidi/>
              <w:jc w:val="center"/>
            </w:pPr>
            <w:r>
              <w:rPr>
                <w:rFonts w:ascii="Arial" w:hAnsi="Arial" w:cs="Arial"/>
                <w:b/>
                <w:color w:val="FFFFFF"/>
                <w:sz w:val="19"/>
                <w:rtl w:val="1"/>
              </w:rPr>
              <w:t>الاستخدام في القرار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اكتمال الطلبات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المكتملة ÷ إجمالي الطلبات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كفاءة تحويل الطلب إلى بيع فعلي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قرار تحسين مسار الشراء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فشل/تعليق الدفع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(المعلقة+الفاشلة) ÷ الإجمالي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يكشف مشاكل بوابات الدفع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أولوية معالجة الدفع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الإلغاء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الملغاة ÷ الإجمالي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تسرب الطلبات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معالجة الأسباب الجذرية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الاسترجاع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المسترجعة ÷ الإجمالي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يعكس رضا/جودة المنتج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مراجعة المنتجات المسترجعة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استرداد الطلبات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المستردة ÷ المعلقة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فعالية حملات الاسترداد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تطوير التذكير والقنوات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متوسط قيمة الطلب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إيراد المكتمل ÷ عدد المكتمل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حجم السلة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قرارات البيع المكمّل والحزم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تكرار الشراء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المتكررون ÷ المشترين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الاحتفاظ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برامج الولاء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الإيراد لكل عميل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الإيراد ÷ عدد المشترين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القيمة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استراتيجية القيمة الدائمة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استخدام الكوبونات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الطلبات المكوبنة ÷ الإجمالي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الاعتماد على الخصم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ضبط سياسة الخصم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معدل إضافة خدمة التركيب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طلبات بتركيب ÷ المكتملة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يقيس إرفاق الخدمات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قرارات عرض الخدمة</w:t>
            </w:r>
          </w:p>
        </w:tc>
      </w:tr>
      <w:tr>
        <w:tc>
          <w:tcPr>
            <w:tcW w:type="dxa" w:w="204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أداء كل طريقة دفع</w:t>
            </w:r>
          </w:p>
        </w:tc>
        <w:tc>
          <w:tcPr>
            <w:tcW w:type="dxa" w:w="2154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اكتمال/إيراد لكل طريقة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يوجّه ترتيب الدفع</w:t>
            </w:r>
          </w:p>
        </w:tc>
        <w:tc>
          <w:tcPr>
            <w:tcW w:type="dxa" w:w="2381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تحسين تجربة الدفع</w:t>
            </w:r>
          </w:p>
        </w:tc>
      </w:tr>
      <w:tr>
        <w:tc>
          <w:tcPr>
            <w:tcW w:type="dxa" w:w="204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أداء المدن والمنتجات والعلامات</w:t>
            </w:r>
          </w:p>
        </w:tc>
        <w:tc>
          <w:tcPr>
            <w:tcW w:type="dxa" w:w="2154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الإيراد/الإلغاء لكل بُعد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يوجّه التشغيل والاستهداف</w:t>
            </w:r>
          </w:p>
        </w:tc>
        <w:tc>
          <w:tcPr>
            <w:tcW w:type="dxa" w:w="2381"/>
            <w:shd w:val="clear" w:color="auto" w:fill="EEF1F6"/>
          </w:tcPr>
          <w:p>
            <w:pPr>
              <w:bidi/>
              <w:jc w:val="right"/>
            </w:pPr>
            <w:r>
              <w:rPr>
                <w:rFonts w:ascii="Arial" w:hAnsi="Arial" w:cs="Arial"/>
                <w:b w:val="0"/>
                <w:sz w:val="18"/>
                <w:rtl w:val="1"/>
              </w:rPr>
              <w:t>تخصيص الجهود جغرافياً ومنتجياً</w:t>
            </w:r>
          </w:p>
        </w:tc>
      </w:tr>
    </w:tbl>
    <w:p>
      <w:pPr>
        <w:spacing w:after="40"/>
      </w:pP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 w:val="0"/>
          <w:color w:val="595959"/>
          <w:sz w:val="19"/>
          <w:rtl w:val="1"/>
        </w:rPr>
        <w:t>ملاحظة: معدل التحويل حسب الجهاز غير متاح في البيانات الحالية (لا تتضمن بيانات الجلسات/الأجهزة)، ويُوصى بربط تحليلات الموقع لقياسه.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22" w:name="sec23"/>
      <w:r>
        <w:rPr>
          <w:rFonts w:ascii="Arial" w:hAnsi="Arial" w:cs="Arial"/>
          <w:b/>
          <w:color w:val="1F3864"/>
          <w:sz w:val="32"/>
          <w:rtl w:val="1"/>
        </w:rPr>
        <w:t>23. ملاحظات على جودة البيانات</w:t>
      </w:r>
      <w:bookmarkEnd w:id="2022"/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لا يتوفر بريد إلكتروني للعملاء؛ اعتُمد رقم الجوال كمُعرّف للعميل، وقد يؤدي تعدد الأرقام لنفس الشخص إلى تقدير محافظ لعدد العملاء المتكررين.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أسماء المدن مكتوبة بصيغ مختلفة (عربية/إنجليزية)؛ جرى توحيد أبرزها، وقد تبقى تباينات طفيفة في مدن نادرة.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طرق الدفع مسجّلة بأسماء تجارية متعددة لنفس القناة؛ جرى تجميعها في مجموعات (بطاقات/تقسيط/نقدي) اعتماداً على رمز الدفع.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لا تتضمن البيانات قيمة الخصم لكل كوبون على مستوى الطلب؛ لذلك قُيّم أداء الكوبون بالاستخدام والاكتمال والإيراد، وتقدير الربحية يُعد فرضية.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لا توجد بيانات تكلفة المنتجات/هامش الربح؛ لذا تقتصر تحليلات «الربحية» على مؤشرات الإيراد.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لا تتوفر بيانات جلسات/أجهزة/مصدر الزيارة؛ لذا لا يمكن حساب معدل التحويل حسب الجهاز أو القناة التسويقية.</w:t>
      </w:r>
    </w:p>
    <w:p>
      <w:pPr>
        <w:pStyle w:val="ListBullet"/>
        <w:bidi/>
        <w:spacing w:after="60" w:line="300" w:lineRule="auto"/>
        <w:jc w:val="right"/>
      </w:pPr>
      <w:r>
        <w:rPr>
          <w:rFonts w:ascii="Arial" w:hAnsi="Arial" w:cs="Arial"/>
          <w:b w:val="0"/>
          <w:sz w:val="22"/>
          <w:rtl w:val="1"/>
        </w:rPr>
        <w:t>سبب الإلغاء غير مسجّل صراحةً؛ التصنيفات المذكورة للأسباب هي فرضيات تحتاج إلى سجلات النظام والمخزون والبوابة للتأكيد.</w:t>
      </w:r>
    </w:p>
    <w:p>
      <w:pPr>
        <w:bidi/>
        <w:spacing w:after="120" w:before="0" w:line="312" w:lineRule="auto"/>
        <w:jc w:val="right"/>
      </w:pPr>
      <w:r>
        <w:rPr>
          <w:rFonts w:ascii="Arial" w:hAnsi="Arial" w:cs="Arial"/>
          <w:b/>
          <w:sz w:val="22"/>
          <w:rtl w:val="1"/>
        </w:rPr>
        <w:t>لم يتم تعويض أي بيانات ناقصة بأرقام تقديرية داخل الجداول؛ كل الأرقام مستخرجة أو محسوبة مباشرة من البيانات الفعلية.</w:t>
      </w:r>
    </w:p>
    <w:p>
      <w:r>
        <w:br w:type="page"/>
      </w:r>
    </w:p>
    <w:p>
      <w:pPr>
        <w:pStyle w:val="Heading1"/>
        <w:bidi/>
        <w:spacing w:before="200" w:after="120"/>
        <w:jc w:val="right"/>
      </w:pPr>
      <w:bookmarkStart w:id="2023" w:name="sec24"/>
      <w:r>
        <w:rPr>
          <w:rFonts w:ascii="Arial" w:hAnsi="Arial" w:cs="Arial"/>
          <w:b/>
          <w:color w:val="1F3864"/>
          <w:sz w:val="32"/>
          <w:rtl w:val="1"/>
        </w:rPr>
        <w:t>24. الخاتمة والتوصيات النهائية</w:t>
      </w:r>
      <w:bookmarkEnd w:id="2023"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638"/>
            <w:shd w:val="clear" w:color="auto" w:fill="EAF0F7"/>
            <w:tcBorders>
              <w:top w:val="single" w:sz="4" w:color="D0D7E2"/>
              <w:bottom w:val="single" w:sz="4" w:color="D0D7E2"/>
              <w:left w:val="single" w:sz="4" w:color="D0D7E2"/>
              <w:right w:val="single" w:sz="18" w:color="1F3864"/>
            </w:tcBorders>
          </w:tcPr>
          <w:p>
            <w:pPr>
              <w:bidi/>
              <w:jc w:val="right"/>
            </w:pPr>
            <w:r>
              <w:rPr>
                <w:rFonts w:ascii="Arial" w:hAnsi="Arial" w:cs="Arial"/>
                <w:b/>
                <w:color w:val="1F3864"/>
                <w:sz w:val="22"/>
                <w:rtl w:val="1"/>
              </w:rPr>
              <w:t>الخلاصة التنفيذية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أكبر فرصة نمو: استرداد المدفوعات المعلقة (23,436,971 SAR) وخفض الإلغاء (30,319,866 SAR) — إيراد جاهز دون تكلفة اكتساب.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أكبر مشكلة: معدل عدم الاكتمال 46.0% من الطلبات، بتركّز في البطاقات والتقسيط غير المكتمل.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أسرع إجراء قابل للتنفيذ: تذكير دفع آلي (SMS/واتساب) خلال 24 ساعة مع رابط دفع مباشر.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أهم حملة مقترحة: حملة استرداد الطلبات المعلقة، تليها حملة استرجاع العملاء المعرضين للخطر.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أهم مؤشر للمتابعة: معدل اكتمال الطلبات (ومعه معدل استرداد المعلق).</w:t>
            </w:r>
          </w:p>
          <w:p>
            <w:pPr>
              <w:bidi/>
              <w:spacing w:after="40"/>
              <w:jc w:val="right"/>
            </w:pPr>
            <w:r>
              <w:rPr>
                <w:rFonts w:ascii="Arial" w:hAnsi="Arial" w:cs="Arial"/>
                <w:b w:val="0"/>
                <w:sz w:val="21"/>
                <w:rtl w:val="1"/>
              </w:rPr>
              <w:t>• أهم قرار يحتاج بيانات إضافية: تفسير الطلبات الملغاة رغم الدفع، والمطابقة بين حالة المتجر وبوابة الدفع.</w:t>
            </w:r>
          </w:p>
        </w:tc>
      </w:tr>
    </w:tbl>
    <w:p>
      <w:pPr>
        <w:spacing w:after="40"/>
      </w:pPr>
    </w:p>
    <w:p>
      <w:pPr>
        <w:bidi/>
        <w:spacing w:after="120" w:before="0" w:line="312" w:lineRule="auto"/>
        <w:jc w:val="both"/>
      </w:pPr>
      <w:r>
        <w:rPr>
          <w:rFonts w:ascii="Arial" w:hAnsi="Arial" w:cs="Arial"/>
          <w:b/>
          <w:sz w:val="22"/>
          <w:rtl w:val="1"/>
        </w:rPr>
        <w:t>يُوصى بالبدء بالأولويات المرتفعة في جدول التوصيات (القسم 21)، وقياس الأثر عبر مؤشرات القسم 22، ومعالجة نقاط التحقق في القسم 20 لتأكيد الأسباب الجذرية قبل توسيع أي مبادرة.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247" w:bottom="1134" w:left="1247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bidi/>
      <w:jc w:val="center"/>
    </w:pPr>
    <w:r>
      <w:rPr>
        <w:rFonts w:ascii="Arial" w:hAnsi="Arial" w:cs="Arial"/>
        <w:b w:val="0"/>
        <w:color w:val="595959"/>
        <w:sz w:val="18"/>
        <w:rtl w:val="1"/>
      </w:rPr>
      <w:t xml:space="preserve">صفحة </w:t>
    </w:r>
    <w:r>
      <w:rPr>
        <w:rtl w:val="1"/>
      </w:rPr>
      <w:fldChar w:fldCharType="begin"/>
      <w:instrText xml:space="preserve">PAGE</w:instrText>
      <w:fldChar w:fldCharType="separate"/>
      <w:t>…</w:t>
      <w:fldChar w:fldCharType="end"/>
    </w:r>
    <w:r>
      <w:rPr>
        <w:rFonts w:ascii="Arial" w:hAnsi="Arial" w:cs="Arial"/>
        <w:b w:val="0"/>
        <w:color w:val="595959"/>
        <w:sz w:val="18"/>
        <w:rtl w:val="1"/>
      </w:rPr>
      <w:t xml:space="preserve"> من </w:t>
    </w:r>
    <w:r>
      <w:rPr>
        <w:rtl w:val="1"/>
      </w:rPr>
      <w:fldChar w:fldCharType="begin"/>
      <w:instrText xml:space="preserve">NUMPAGES</w:instrText>
      <w:fldChar w:fldCharType="separate"/>
      <w:t>…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bidi/>
      <w:jc w:val="right"/>
    </w:pPr>
    <w:r>
      <w:rPr>
        <w:rFonts w:ascii="Arial" w:hAnsi="Arial" w:cs="Arial"/>
        <w:b w:val="0"/>
        <w:color w:val="595959"/>
        <w:sz w:val="17"/>
        <w:rtl w:val="1"/>
      </w:rPr>
      <w:t>تقرير تحليل الطلبات والأداء التجاري — متجر شاكر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